
<file path=[Content_Types].xml><?xml version="1.0" encoding="utf-8"?>
<Types xmlns="http://schemas.openxmlformats.org/package/2006/content-types">
  <Default Extension="bmp" ContentType="image/bmp"/>
  <Default Extension="emf" ContentType="image/x-emf"/>
  <Default Extension="gif" ContentType="image/gif"/>
  <Default Extension="jpeg" ContentType="image/jpeg"/>
  <Default Extension="jpg" ContentType="application/octet-stream"/>
  <Default Extension="pdf" ContentType="application/pdf"/>
  <Default Extension="png" ContentType="image/png"/>
  <Default Extension="rels" ContentType="application/vnd.openxmlformats-package.relationships+xml"/>
  <Default Extension="svg" ContentType="image/svg+xml"/>
  <Default Extension="tiff" ContentType="image/tiff"/>
  <Default Extension="wmf" ContentType="image/x-wmf"/>
  <Default Extension="xml" ContentType="application/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jc w:val="center"/>
        <w:rPr>
          <w:rFonts w:ascii="Aptos" w:hAnsi="Aptos" w:cs="Calibri" w:cstheme="minorHAnsi"/>
          <w:b/>
          <w:bCs/>
          <w:sz w:val="21"/>
          <w:szCs w:val="21"/>
          <w:lang w:val="ro-RO"/>
        </w:rPr>
      </w:pPr>
      <w:r>
        <w:rPr>
          <w:rFonts w:cs="Calibri" w:ascii="Aptos" w:hAnsi="Aptos" w:cstheme="minorHAnsi"/>
          <w:b/>
          <w:bCs/>
          <w:sz w:val="21"/>
          <w:szCs w:val="21"/>
          <w:lang w:val="ro-RO"/>
        </w:rPr>
        <w:t>FIŞA DISCIPLINEI</w:t>
      </w:r>
    </w:p>
    <w:p>
      <w:pPr>
        <w:pStyle w:val="Normal"/>
        <w:shd w:val="clear" w:color="auto" w:fill="FFFFFF"/>
        <w:rPr>
          <w:rFonts w:ascii="Aptos" w:hAnsi="Aptos" w:cs="Calibri" w:cstheme="minorHAnsi"/>
          <w:sz w:val="21"/>
          <w:szCs w:val="21"/>
          <w:lang w:val="ro-RO"/>
        </w:rPr>
      </w:pPr>
      <w:r>
        <w:rPr>
          <w:rFonts w:cs="Calibri" w:cstheme="minorHAnsi" w:ascii="Aptos" w:hAnsi="Aptos"/>
          <w:sz w:val="21"/>
          <w:szCs w:val="21"/>
          <w:lang w:val="ro-RO"/>
        </w:rPr>
      </w:r>
    </w:p>
    <w:p>
      <w:pPr>
        <w:pStyle w:val="Normal"/>
        <w:shd w:val="clear" w:color="auto" w:fill="FFFFFF"/>
        <w:rPr>
          <w:rFonts w:ascii="Aptos" w:hAnsi="Aptos" w:cs="Calibri" w:cstheme="minorHAnsi"/>
          <w:sz w:val="21"/>
          <w:szCs w:val="21"/>
          <w:lang w:val="ro-RO"/>
        </w:rPr>
      </w:pPr>
      <w:r>
        <w:rPr>
          <w:rFonts w:cs="Calibri" w:cstheme="minorHAnsi" w:ascii="Aptos" w:hAnsi="Aptos"/>
          <w:sz w:val="21"/>
          <w:szCs w:val="21"/>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1. Date despre program</w:t>
      </w:r>
    </w:p>
    <w:tbl>
      <w:tblPr>
        <w:tblW w:w="4950" w:type="pct"/>
        <w:jc w:val="left"/>
        <w:tblInd w:w="0" w:type="dxa"/>
        <w:tblLayout w:type="fixed"/>
        <w:tblCellMar>
          <w:top w:w="0" w:type="dxa"/>
          <w:left w:w="40" w:type="dxa"/>
          <w:bottom w:w="0" w:type="dxa"/>
          <w:right w:w="40" w:type="dxa"/>
        </w:tblCellMar>
        <w:tblLook w:val="0000" w:noHBand="0" w:noVBand="0" w:firstColumn="0" w:lastRow="0" w:lastColumn="0" w:firstRow="0"/>
      </w:tblPr>
      <w:tblGrid>
        <w:gridCol w:w="3465"/>
        <w:gridCol w:w="6075"/>
      </w:tblGrid>
      <w:tr>
        <w:trPr>
          <w:trHeight w:val="275"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 Instituţia de învăţământ superior</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0" w:name="bkm_11_institution"/>
            <w:r>
              <w:rPr>
                <w:rFonts w:cs="Calibri" w:ascii="Aptos" w:hAnsi="Aptos" w:cstheme="minorHAnsi"/>
                <w:sz w:val="21"/>
                <w:szCs w:val="21"/>
                <w:lang w:val="ro-RO"/>
              </w:rPr>
              <w:t>Universitatea Tehnica din Cluj-Napoca</w:t>
            </w:r>
            <w:bookmarkEnd w:id="0"/>
          </w:p>
        </w:tc>
      </w:tr>
      <w:tr>
        <w:trPr>
          <w:trHeight w:val="266"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 xml:space="preserve">1.2 Facultatea </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1" w:name="bkm_12_faculty"/>
            <w:r>
              <w:rPr>
                <w:rFonts w:cs="Calibri" w:ascii="Aptos" w:hAnsi="Aptos" w:cstheme="minorHAnsi"/>
                <w:sz w:val="21"/>
                <w:szCs w:val="21"/>
                <w:lang w:val="ro-RO"/>
              </w:rPr>
              <w:t>Facultatea de Constructii</w:t>
            </w:r>
            <w:bookmarkEnd w:id="1"/>
          </w:p>
        </w:tc>
      </w:tr>
      <w:tr>
        <w:trPr>
          <w:trHeight w:val="266"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1.3 Departamentul</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2" w:name="bkm_13_department"/>
            <w:r>
              <w:rPr>
                <w:rFonts w:cs="Calibri" w:ascii="Aptos" w:hAnsi="Aptos" w:cstheme="minorHAnsi"/>
                <w:sz w:val="21"/>
                <w:szCs w:val="21"/>
                <w:lang w:val="ro-RO"/>
              </w:rPr>
              <w:t>Căi Ferate, Drumuri și Poduri</w:t>
            </w:r>
            <w:bookmarkEnd w:id="2"/>
          </w:p>
        </w:tc>
      </w:tr>
      <w:tr>
        <w:trPr>
          <w:trHeight w:val="246"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1.4 Domeniul de studii</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3" w:name="bkm_14_study_field"/>
            <w:r>
              <w:rPr>
                <w:rFonts w:cs="Calibri" w:ascii="Aptos" w:hAnsi="Aptos" w:cstheme="minorHAnsi"/>
                <w:sz w:val="21"/>
                <w:szCs w:val="21"/>
                <w:lang w:val="ro-RO"/>
              </w:rPr>
              <w:t>Inginerie Civilă și Instalații</w:t>
            </w:r>
            <w:bookmarkEnd w:id="3"/>
          </w:p>
        </w:tc>
      </w:tr>
      <w:tr>
        <w:trPr>
          <w:trHeight w:val="250"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1.5 Ciclul de studii</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4" w:name="bkm_15_study_level"/>
            <w:r>
              <w:rPr>
                <w:rFonts w:cs="Calibri" w:ascii="Aptos" w:hAnsi="Aptos" w:cstheme="minorHAnsi"/>
                <w:sz w:val="21"/>
                <w:szCs w:val="21"/>
                <w:lang w:val="ro-RO"/>
              </w:rPr>
              <w:t>master</w:t>
            </w:r>
            <w:bookmarkEnd w:id="4"/>
          </w:p>
        </w:tc>
      </w:tr>
      <w:tr>
        <w:trPr>
          <w:trHeight w:val="240"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1.6 Programul de studii / Calificarea</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5" w:name="bkm_16_study_program"/>
            <w:r>
              <w:rPr>
                <w:rFonts w:cs="Calibri" w:ascii="Aptos" w:hAnsi="Aptos" w:cstheme="minorHAnsi"/>
                <w:sz w:val="21"/>
                <w:szCs w:val="21"/>
                <w:lang w:val="ro-RO"/>
              </w:rPr>
              <w:t>Ingineria Infrastructurii Transporturilor</w:t>
            </w:r>
            <w:bookmarkEnd w:id="5"/>
          </w:p>
        </w:tc>
      </w:tr>
      <w:tr>
        <w:trPr>
          <w:trHeight w:val="240" w:hRule="atLeast"/>
        </w:trPr>
        <w:tc>
          <w:tcPr>
            <w:tcW w:w="34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1.7 Forma de învăţământ</w:t>
            </w:r>
          </w:p>
        </w:tc>
        <w:tc>
          <w:tcPr>
            <w:tcW w:w="607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6" w:name="bkm_17_form_of_edu"/>
            <w:r>
              <w:rPr>
                <w:rFonts w:cs="Calibri" w:ascii="Aptos" w:hAnsi="Aptos" w:cstheme="minorHAnsi"/>
                <w:sz w:val="21"/>
                <w:szCs w:val="21"/>
                <w:lang w:val="ro-RO"/>
              </w:rPr>
              <w:t>IF - invatamant cu frecventa</w:t>
            </w:r>
            <w:bookmarkEnd w:id="6"/>
          </w:p>
        </w:tc>
      </w:tr>
    </w:tbl>
    <w:p>
      <w:pPr>
        <w:pStyle w:val="Normal"/>
        <w:shd w:val="clear" w:color="auto" w:fill="FFFFFF"/>
        <w:rPr>
          <w:rFonts w:ascii="Aptos" w:hAnsi="Aptos" w:cs="Calibri" w:cstheme="minorHAnsi"/>
          <w:sz w:val="21"/>
          <w:szCs w:val="21"/>
          <w:u w:val="single"/>
          <w:lang w:val="ro-RO"/>
        </w:rPr>
      </w:pPr>
      <w:r>
        <w:rPr>
          <w:rFonts w:cs="Calibri" w:cstheme="minorHAnsi" w:ascii="Aptos" w:hAnsi="Aptos"/>
          <w:sz w:val="21"/>
          <w:szCs w:val="21"/>
          <w:u w:val="single"/>
          <w:lang w:val="ro-RO"/>
        </w:rPr>
      </w:r>
    </w:p>
    <w:p>
      <w:pPr>
        <w:pStyle w:val="Normal"/>
        <w:shd w:val="clear" w:color="auto" w:fill="FFFFFF"/>
        <w:rPr>
          <w:rFonts w:ascii="Aptos" w:hAnsi="Aptos" w:cs="Calibri" w:cstheme="minorHAnsi"/>
          <w:sz w:val="21"/>
          <w:szCs w:val="21"/>
          <w:u w:val="single"/>
          <w:lang w:val="ro-RO"/>
        </w:rPr>
      </w:pPr>
      <w:r>
        <w:rPr>
          <w:rFonts w:cs="Calibri" w:cstheme="minorHAnsi" w:ascii="Aptos" w:hAnsi="Aptos"/>
          <w:sz w:val="21"/>
          <w:szCs w:val="21"/>
          <w:u w:val="single"/>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2. Date despre disciplină</w:t>
      </w:r>
    </w:p>
    <w:tbl>
      <w:tblPr>
        <w:tblW w:w="5000" w:type="pct"/>
        <w:jc w:val="left"/>
        <w:tblInd w:w="0" w:type="dxa"/>
        <w:tblLayout w:type="fixed"/>
        <w:tblCellMar>
          <w:top w:w="0" w:type="dxa"/>
          <w:left w:w="57" w:type="dxa"/>
          <w:bottom w:w="0" w:type="dxa"/>
          <w:right w:w="57" w:type="dxa"/>
        </w:tblCellMar>
        <w:tblLook w:val="01e0" w:noHBand="0" w:noVBand="0" w:firstColumn="1" w:lastRow="1" w:lastColumn="1" w:firstRow="1"/>
      </w:tblPr>
      <w:tblGrid>
        <w:gridCol w:w="2052"/>
        <w:gridCol w:w="424"/>
        <w:gridCol w:w="989"/>
        <w:gridCol w:w="571"/>
        <w:gridCol w:w="424"/>
        <w:gridCol w:w="2467"/>
        <w:gridCol w:w="1801"/>
        <w:gridCol w:w="67"/>
        <w:gridCol w:w="842"/>
      </w:tblGrid>
      <w:tr>
        <w:trPr/>
        <w:tc>
          <w:tcPr>
            <w:tcW w:w="3465" w:type="dxa"/>
            <w:gridSpan w:val="3"/>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2.1 Denumirea disciplinei</w:t>
            </w:r>
          </w:p>
        </w:tc>
        <w:tc>
          <w:tcPr>
            <w:tcW w:w="3462" w:type="dxa"/>
            <w:gridSpan w:val="3"/>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bookmarkStart w:id="7" w:name="bkm_21_subject_name"/>
            <w:r>
              <w:rPr>
                <w:rFonts w:cs="Calibri" w:ascii="Aptos" w:hAnsi="Aptos" w:cstheme="minorHAnsi"/>
                <w:sz w:val="21"/>
                <w:szCs w:val="21"/>
                <w:lang w:val="ro-RO"/>
              </w:rPr>
              <w:t>Psihopedagogia Adolescenților, Tinerilor și Adulților</w:t>
            </w:r>
            <w:bookmarkEnd w:id="7"/>
          </w:p>
        </w:tc>
        <w:tc>
          <w:tcPr>
            <w:tcW w:w="180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Codul disciplinei</w:t>
            </w:r>
          </w:p>
        </w:tc>
        <w:tc>
          <w:tcPr>
            <w:tcW w:w="909"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bookmarkStart w:id="8" w:name="bkm_18_subject_code"/>
            <w:r>
              <w:rPr>
                <w:rFonts w:cs="Calibri" w:ascii="Aptos" w:hAnsi="Aptos" w:cstheme="minorHAnsi"/>
                <w:sz w:val="21"/>
                <w:szCs w:val="21"/>
                <w:lang w:val="ro-RO"/>
              </w:rPr>
              <w:t>201.00</w:t>
            </w:r>
            <w:bookmarkEnd w:id="8"/>
          </w:p>
        </w:tc>
      </w:tr>
      <w:tr>
        <w:trPr/>
        <w:tc>
          <w:tcPr>
            <w:tcW w:w="3465" w:type="dxa"/>
            <w:gridSpan w:val="3"/>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4972" w:leader="none"/>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2.2 Titularul de curs</w:t>
            </w:r>
          </w:p>
        </w:tc>
        <w:tc>
          <w:tcPr>
            <w:tcW w:w="6172" w:type="dxa"/>
            <w:gridSpan w:val="6"/>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4972" w:leader="none"/>
                <w:tab w:val="left" w:pos="5932" w:leader="none"/>
                <w:tab w:val="left" w:pos="10240" w:leader="none"/>
              </w:tabs>
              <w:rPr>
                <w:rFonts w:ascii="Aptos" w:hAnsi="Aptos" w:cs="Calibri" w:cstheme="minorHAnsi"/>
                <w:i/>
                <w:i/>
                <w:sz w:val="21"/>
                <w:szCs w:val="21"/>
                <w:lang w:val="ro-RO"/>
              </w:rPr>
            </w:pPr>
            <w:bookmarkStart w:id="9" w:name="bkm_22_owner_title"/>
            <w:r>
              <w:rPr>
                <w:rFonts w:cs="Calibri" w:ascii="Aptos" w:hAnsi="Aptos" w:cstheme="minorHAnsi"/>
                <w:sz w:val="21"/>
                <w:szCs w:val="21"/>
                <w:lang w:val="ro-RO"/>
              </w:rPr>
              <w:t>conf. dr. psih.</w:t>
            </w:r>
            <w:bookmarkEnd w:id="9"/>
            <w:r>
              <w:rPr>
                <w:rFonts w:cs="Calibri" w:ascii="Aptos" w:hAnsi="Aptos" w:cstheme="minorHAnsi"/>
                <w:sz w:val="21"/>
                <w:szCs w:val="21"/>
                <w:lang w:val="ro-RO"/>
              </w:rPr>
              <w:t xml:space="preserve"> </w:t>
            </w:r>
            <w:bookmarkStart w:id="10" w:name="bkm_22_owner_name"/>
            <w:r>
              <w:rPr>
                <w:rFonts w:cs="Calibri" w:ascii="Aptos" w:hAnsi="Aptos" w:cstheme="minorHAnsi"/>
                <w:sz w:val="21"/>
                <w:szCs w:val="21"/>
                <w:lang w:val="ro-RO"/>
              </w:rPr>
              <w:t>Ionut-Dorin Stanciu</w:t>
            </w:r>
            <w:bookmarkEnd w:id="10"/>
            <w:r>
              <w:rPr>
                <w:rFonts w:cs="Calibri" w:ascii="Aptos" w:hAnsi="Aptos" w:cstheme="minorHAnsi"/>
                <w:sz w:val="21"/>
                <w:szCs w:val="21"/>
                <w:lang w:val="ro-RO"/>
              </w:rPr>
              <w:t xml:space="preserve"> - </w:t>
            </w:r>
            <w:bookmarkStart w:id="11" w:name="bkm_22_owner_email"/>
            <w:r>
              <w:rPr>
                <w:rFonts w:cs="Calibri" w:ascii="Aptos" w:hAnsi="Aptos" w:cstheme="minorHAnsi"/>
                <w:sz w:val="21"/>
                <w:szCs w:val="21"/>
                <w:lang w:val="ro-RO"/>
              </w:rPr>
              <w:t>ionut.stanciu@dppd.utcluj.ro</w:t>
            </w:r>
            <w:bookmarkEnd w:id="11"/>
          </w:p>
        </w:tc>
      </w:tr>
      <w:tr>
        <w:trPr/>
        <w:tc>
          <w:tcPr>
            <w:tcW w:w="3465" w:type="dxa"/>
            <w:gridSpan w:val="3"/>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4972" w:leader="none"/>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2.3 Titularul activităţilor de seminar / laborator / proiect</w:t>
            </w:r>
          </w:p>
        </w:tc>
        <w:tc>
          <w:tcPr>
            <w:tcW w:w="6172" w:type="dxa"/>
            <w:gridSpan w:val="6"/>
            <w:tcBorders>
              <w:top w:val="single" w:sz="4" w:space="0" w:color="000000"/>
              <w:left w:val="single" w:sz="4" w:space="0" w:color="000000"/>
              <w:bottom w:val="single" w:sz="4" w:space="0" w:color="000000"/>
              <w:right w:val="single" w:sz="4" w:space="0" w:color="000000"/>
            </w:tcBorders>
            <w:vAlign w:val="center"/>
          </w:tcPr>
          <w:p>
            <w:pPr>
              <w:pStyle w:val="Normal"/>
              <w:shd w:val="clear" w:color="auto" w:fill="FFFFFF"/>
              <w:tabs>
                <w:tab w:val="clear" w:pos="708"/>
                <w:tab w:val="left" w:pos="4972" w:leader="none"/>
                <w:tab w:val="left" w:pos="5932" w:leader="none"/>
                <w:tab w:val="left" w:pos="10240" w:leader="none"/>
              </w:tabs>
              <w:rPr>
                <w:rFonts w:ascii="Aptos" w:hAnsi="Aptos" w:cs="Calibri" w:cstheme="minorHAnsi"/>
                <w:i/>
                <w:i/>
                <w:sz w:val="21"/>
                <w:szCs w:val="21"/>
                <w:lang w:val="ro-RO"/>
              </w:rPr>
            </w:pPr>
            <w:bookmarkStart w:id="12" w:name="bkm_23_assist_title"/>
            <w:r>
              <w:rPr>
                <w:rFonts w:cs="Calibri" w:ascii="Aptos" w:hAnsi="Aptos" w:cstheme="minorHAnsi"/>
                <w:sz w:val="21"/>
                <w:szCs w:val="21"/>
                <w:lang w:val="ro-RO"/>
              </w:rPr>
              <w:t>conf. dr. psih.</w:t>
            </w:r>
            <w:bookmarkEnd w:id="12"/>
            <w:r>
              <w:rPr>
                <w:rFonts w:cs="Calibri" w:ascii="Aptos" w:hAnsi="Aptos" w:cstheme="minorHAnsi"/>
                <w:sz w:val="21"/>
                <w:szCs w:val="21"/>
                <w:lang w:val="ro-RO"/>
              </w:rPr>
              <w:t xml:space="preserve"> </w:t>
            </w:r>
            <w:bookmarkStart w:id="13" w:name="bkm_22_assist_name"/>
            <w:r>
              <w:rPr>
                <w:rFonts w:cs="Calibri" w:ascii="Aptos" w:hAnsi="Aptos" w:cstheme="minorHAnsi"/>
                <w:sz w:val="21"/>
                <w:szCs w:val="21"/>
                <w:lang w:val="ro-RO"/>
              </w:rPr>
              <w:t>Ionut-Dorin Stanciu</w:t>
            </w:r>
            <w:bookmarkEnd w:id="13"/>
            <w:r>
              <w:rPr>
                <w:rFonts w:cs="Calibri" w:ascii="Aptos" w:hAnsi="Aptos" w:cstheme="minorHAnsi"/>
                <w:sz w:val="21"/>
                <w:szCs w:val="21"/>
                <w:lang w:val="ro-RO"/>
              </w:rPr>
              <w:t xml:space="preserve"> - </w:t>
            </w:r>
            <w:bookmarkStart w:id="14" w:name="bkm_23_assist_email"/>
            <w:r>
              <w:rPr>
                <w:rFonts w:cs="Calibri" w:ascii="Aptos" w:hAnsi="Aptos" w:cstheme="minorHAnsi"/>
                <w:sz w:val="21"/>
                <w:szCs w:val="21"/>
                <w:lang w:val="ro-RO"/>
              </w:rPr>
              <w:t>ionut.stanciu@dppd.utcluj.ro</w:t>
            </w:r>
            <w:bookmarkEnd w:id="14"/>
          </w:p>
        </w:tc>
      </w:tr>
      <w:tr>
        <w:trPr>
          <w:trHeight w:val="279" w:hRule="atLeast"/>
        </w:trPr>
        <w:tc>
          <w:tcPr>
            <w:tcW w:w="205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 xml:space="preserve">2.4 Anul de studiu              </w:t>
            </w:r>
          </w:p>
        </w:tc>
        <w:tc>
          <w:tcPr>
            <w:tcW w:w="424"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bookmarkStart w:id="15" w:name="bkm_23_study_year"/>
            <w:r>
              <w:rPr>
                <w:rFonts w:cs="Calibri" w:ascii="Aptos" w:hAnsi="Aptos" w:cstheme="minorHAnsi"/>
                <w:sz w:val="21"/>
                <w:szCs w:val="21"/>
                <w:lang w:val="ro-RO"/>
              </w:rPr>
              <w:t>1</w:t>
            </w:r>
            <w:bookmarkEnd w:id="15"/>
          </w:p>
        </w:tc>
        <w:tc>
          <w:tcPr>
            <w:tcW w:w="1560" w:type="dxa"/>
            <w:gridSpan w:val="2"/>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r>
              <w:rPr>
                <w:rFonts w:cs="Calibri" w:ascii="Aptos" w:hAnsi="Aptos" w:cstheme="minorHAnsi"/>
                <w:sz w:val="21"/>
                <w:szCs w:val="21"/>
                <w:lang w:val="ro-RO"/>
              </w:rPr>
              <w:t>2.5 Semestrul</w:t>
            </w:r>
          </w:p>
        </w:tc>
        <w:tc>
          <w:tcPr>
            <w:tcW w:w="424"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bookmarkStart w:id="16" w:name="bkm_25_study_sem"/>
            <w:r>
              <w:rPr>
                <w:rFonts w:cs="Calibri" w:ascii="Aptos" w:hAnsi="Aptos" w:cstheme="minorHAnsi"/>
                <w:sz w:val="21"/>
                <w:szCs w:val="21"/>
                <w:lang w:val="ro-RO"/>
              </w:rPr>
              <w:t>1</w:t>
            </w:r>
            <w:bookmarkEnd w:id="16"/>
          </w:p>
        </w:tc>
        <w:tc>
          <w:tcPr>
            <w:tcW w:w="4335" w:type="dxa"/>
            <w:gridSpan w:val="3"/>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r>
              <w:rPr>
                <w:rFonts w:cs="Calibri" w:ascii="Aptos" w:hAnsi="Aptos" w:cstheme="minorHAnsi"/>
                <w:sz w:val="21"/>
                <w:szCs w:val="21"/>
                <w:lang w:val="ro-RO"/>
              </w:rPr>
              <w:t>2.6 Tipul de evaluare</w:t>
            </w:r>
          </w:p>
        </w:tc>
        <w:tc>
          <w:tcPr>
            <w:tcW w:w="84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bookmarkStart w:id="17" w:name="bkm_26_assess_form"/>
            <w:r>
              <w:rPr>
                <w:rFonts w:cs="Calibri" w:ascii="Aptos" w:hAnsi="Aptos" w:cstheme="minorHAnsi"/>
                <w:sz w:val="21"/>
                <w:szCs w:val="21"/>
                <w:lang w:val="ro-RO"/>
              </w:rPr>
              <w:t>E</w:t>
            </w:r>
            <w:bookmarkEnd w:id="17"/>
          </w:p>
        </w:tc>
      </w:tr>
      <w:tr>
        <w:trPr>
          <w:trHeight w:val="279" w:hRule="atLeast"/>
        </w:trPr>
        <w:tc>
          <w:tcPr>
            <w:tcW w:w="2052" w:type="dxa"/>
            <w:vMerge w:val="restart"/>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r>
              <w:rPr>
                <w:rFonts w:cs="Calibri" w:ascii="Aptos" w:hAnsi="Aptos" w:cstheme="minorHAnsi"/>
                <w:sz w:val="21"/>
                <w:szCs w:val="21"/>
                <w:lang w:val="ro-RO"/>
              </w:rPr>
              <w:t>2.7 Regimul disciplinei</w:t>
            </w:r>
          </w:p>
        </w:tc>
        <w:tc>
          <w:tcPr>
            <w:tcW w:w="6743" w:type="dxa"/>
            <w:gridSpan w:val="7"/>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r>
              <w:rPr>
                <w:rFonts w:cs="Calibri" w:ascii="Aptos" w:hAnsi="Aptos" w:cstheme="minorHAnsi"/>
                <w:sz w:val="21"/>
                <w:szCs w:val="21"/>
                <w:lang w:val="ro-RO"/>
              </w:rPr>
              <w:t>Categoria formativă</w:t>
            </w:r>
          </w:p>
        </w:tc>
        <w:tc>
          <w:tcPr>
            <w:tcW w:w="84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bookmarkStart w:id="18" w:name="bkm_27_formative_cat"/>
            <w:r>
              <w:rPr>
                <w:rFonts w:cs="Calibri" w:ascii="Aptos" w:hAnsi="Aptos" w:cstheme="minorHAnsi"/>
                <w:sz w:val="21"/>
                <w:szCs w:val="21"/>
                <w:lang w:val="ro-RO"/>
              </w:rPr>
              <w:t>DC</w:t>
            </w:r>
            <w:bookmarkEnd w:id="18"/>
          </w:p>
        </w:tc>
      </w:tr>
      <w:tr>
        <w:trPr>
          <w:trHeight w:val="279" w:hRule="atLeast"/>
        </w:trPr>
        <w:tc>
          <w:tcPr>
            <w:tcW w:w="2052" w:type="dxa"/>
            <w:vMerge w:val="continue"/>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rPr>
                <w:rFonts w:ascii="Aptos" w:hAnsi="Aptos" w:cs="Calibri" w:cstheme="minorHAnsi"/>
                <w:sz w:val="21"/>
                <w:szCs w:val="21"/>
                <w:lang w:val="ro-RO"/>
              </w:rPr>
            </w:pPr>
            <w:r>
              <w:rPr>
                <w:rFonts w:cs="Calibri" w:cstheme="minorHAnsi" w:ascii="Aptos" w:hAnsi="Aptos"/>
                <w:sz w:val="21"/>
                <w:szCs w:val="21"/>
                <w:lang w:val="ro-RO"/>
              </w:rPr>
            </w:r>
          </w:p>
        </w:tc>
        <w:tc>
          <w:tcPr>
            <w:tcW w:w="6743" w:type="dxa"/>
            <w:gridSpan w:val="7"/>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r>
              <w:rPr>
                <w:rFonts w:cs="Calibri" w:ascii="Aptos" w:hAnsi="Aptos" w:cstheme="minorHAnsi"/>
                <w:sz w:val="21"/>
                <w:szCs w:val="21"/>
                <w:lang w:val="ro-RO"/>
              </w:rPr>
              <w:t>Opționalitate</w:t>
            </w:r>
          </w:p>
        </w:tc>
        <w:tc>
          <w:tcPr>
            <w:tcW w:w="842"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pPr>
              <w:pStyle w:val="Normal"/>
              <w:shd w:val="clear" w:color="auto" w:fill="FFFFFF"/>
              <w:tabs>
                <w:tab w:val="clear" w:pos="708"/>
                <w:tab w:val="left" w:pos="5932" w:leader="none"/>
                <w:tab w:val="left" w:pos="10240" w:leader="none"/>
              </w:tabs>
              <w:ind w:left="40"/>
              <w:rPr>
                <w:rFonts w:ascii="Aptos" w:hAnsi="Aptos" w:cs="Calibri" w:cstheme="minorHAnsi"/>
                <w:sz w:val="21"/>
                <w:szCs w:val="21"/>
                <w:lang w:val="ro-RO"/>
              </w:rPr>
            </w:pPr>
            <w:bookmarkStart w:id="19" w:name="bkm_27_optionality"/>
            <w:r>
              <w:rPr>
                <w:rFonts w:cs="Calibri" w:ascii="Aptos" w:hAnsi="Aptos" w:cstheme="minorHAnsi"/>
                <w:sz w:val="21"/>
                <w:szCs w:val="21"/>
                <w:lang w:val="ro-RO"/>
              </w:rPr>
              <w:t>DFac</w:t>
            </w:r>
            <w:bookmarkEnd w:id="19"/>
          </w:p>
        </w:tc>
      </w:tr>
    </w:tbl>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3. Timpul total estimat</w:t>
      </w:r>
    </w:p>
    <w:tbl>
      <w:tblPr>
        <w:tblW w:w="5000" w:type="pct"/>
        <w:jc w:val="left"/>
        <w:tblInd w:w="0" w:type="dxa"/>
        <w:tblLayout w:type="fixed"/>
        <w:tblCellMar>
          <w:top w:w="0" w:type="dxa"/>
          <w:left w:w="5" w:type="dxa"/>
          <w:bottom w:w="0" w:type="dxa"/>
          <w:right w:w="5" w:type="dxa"/>
        </w:tblCellMar>
        <w:tblLook w:val="0000" w:noHBand="0" w:noVBand="0" w:firstColumn="0" w:lastRow="0" w:lastColumn="0" w:firstRow="0"/>
      </w:tblPr>
      <w:tblGrid>
        <w:gridCol w:w="2822"/>
        <w:gridCol w:w="376"/>
        <w:gridCol w:w="619"/>
        <w:gridCol w:w="709"/>
        <w:gridCol w:w="596"/>
        <w:gridCol w:w="839"/>
        <w:gridCol w:w="448"/>
        <w:gridCol w:w="1118"/>
        <w:gridCol w:w="449"/>
        <w:gridCol w:w="813"/>
        <w:gridCol w:w="839"/>
        <w:gridCol w:w="8"/>
      </w:tblGrid>
      <w:tr>
        <w:trPr/>
        <w:tc>
          <w:tcPr>
            <w:tcW w:w="282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3.1 Număr de ore pe    săptămână</w:t>
            </w:r>
          </w:p>
        </w:tc>
        <w:tc>
          <w:tcPr>
            <w:tcW w:w="37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0" w:name="bkm_31_hrs_week"/>
            <w:r>
              <w:rPr>
                <w:rFonts w:cs="Calibri" w:ascii="Aptos" w:hAnsi="Aptos" w:cstheme="minorHAnsi"/>
                <w:sz w:val="21"/>
                <w:szCs w:val="21"/>
                <w:lang w:val="ro-RO"/>
              </w:rPr>
              <w:t>3</w:t>
            </w:r>
            <w:bookmarkEnd w:id="20"/>
          </w:p>
        </w:tc>
        <w:tc>
          <w:tcPr>
            <w:tcW w:w="61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din care:</w:t>
            </w:r>
          </w:p>
        </w:tc>
        <w:tc>
          <w:tcPr>
            <w:tcW w:w="70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3.2 Curs</w:t>
            </w:r>
          </w:p>
        </w:tc>
        <w:tc>
          <w:tcPr>
            <w:tcW w:w="59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1" w:name="bkm_32_hrs_week_c"/>
            <w:r>
              <w:rPr>
                <w:rFonts w:cs="Calibri" w:ascii="Aptos" w:hAnsi="Aptos" w:cstheme="minorHAnsi"/>
                <w:sz w:val="21"/>
                <w:szCs w:val="21"/>
                <w:lang w:val="ro-RO"/>
              </w:rPr>
              <w:t>2</w:t>
            </w:r>
            <w:bookmarkEnd w:id="21"/>
          </w:p>
        </w:tc>
        <w:tc>
          <w:tcPr>
            <w:tcW w:w="83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3.3 Seminar</w:t>
            </w:r>
          </w:p>
        </w:tc>
        <w:tc>
          <w:tcPr>
            <w:tcW w:w="448"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2" w:name="bkm_33_hrs_week_s"/>
            <w:r>
              <w:rPr>
                <w:rFonts w:cs="Calibri" w:ascii="Aptos" w:hAnsi="Aptos" w:cstheme="minorHAnsi"/>
                <w:sz w:val="21"/>
                <w:szCs w:val="21"/>
                <w:lang w:val="ro-RO"/>
              </w:rPr>
              <w:t>1</w:t>
            </w:r>
            <w:bookmarkEnd w:id="22"/>
          </w:p>
        </w:tc>
        <w:tc>
          <w:tcPr>
            <w:tcW w:w="1118"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3.3 Laborator</w:t>
            </w:r>
          </w:p>
        </w:tc>
        <w:tc>
          <w:tcPr>
            <w:tcW w:w="44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3" w:name="bkm_33_hrs_week_l"/>
            <w:r>
              <w:rPr>
                <w:rFonts w:cs="Calibri" w:ascii="Aptos" w:hAnsi="Aptos" w:cstheme="minorHAnsi"/>
                <w:sz w:val="21"/>
                <w:szCs w:val="21"/>
                <w:lang w:val="ro-RO"/>
              </w:rPr>
              <w:t>-</w:t>
            </w:r>
            <w:bookmarkEnd w:id="23"/>
          </w:p>
        </w:tc>
        <w:tc>
          <w:tcPr>
            <w:tcW w:w="81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3.3 Proiect</w:t>
            </w:r>
          </w:p>
        </w:tc>
        <w:tc>
          <w:tcPr>
            <w:tcW w:w="84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4" w:name="bkm_33_hrs_week_p"/>
            <w:r>
              <w:rPr>
                <w:rFonts w:cs="Calibri" w:ascii="Aptos" w:hAnsi="Aptos" w:cstheme="minorHAnsi"/>
                <w:sz w:val="21"/>
                <w:szCs w:val="21"/>
                <w:lang w:val="ro-RO"/>
              </w:rPr>
              <w:t>-</w:t>
            </w:r>
            <w:bookmarkEnd w:id="24"/>
          </w:p>
        </w:tc>
      </w:tr>
      <w:tr>
        <w:trPr/>
        <w:tc>
          <w:tcPr>
            <w:tcW w:w="282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3.4 Număr de ore pe semestru</w:t>
            </w:r>
          </w:p>
        </w:tc>
        <w:tc>
          <w:tcPr>
            <w:tcW w:w="37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5" w:name="bkm_34_hrs_curric"/>
            <w:r>
              <w:rPr>
                <w:rFonts w:cs="Calibri" w:ascii="Aptos" w:hAnsi="Aptos" w:cstheme="minorHAnsi"/>
                <w:sz w:val="21"/>
                <w:szCs w:val="21"/>
                <w:lang w:val="ro-RO"/>
              </w:rPr>
              <w:t>42</w:t>
            </w:r>
            <w:bookmarkEnd w:id="25"/>
          </w:p>
        </w:tc>
        <w:tc>
          <w:tcPr>
            <w:tcW w:w="61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din care:</w:t>
            </w:r>
          </w:p>
        </w:tc>
        <w:tc>
          <w:tcPr>
            <w:tcW w:w="70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3.5 Curs</w:t>
            </w:r>
          </w:p>
        </w:tc>
        <w:tc>
          <w:tcPr>
            <w:tcW w:w="59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6" w:name="bkm_35_hrs_curric_c"/>
            <w:r>
              <w:rPr>
                <w:rFonts w:cs="Calibri" w:ascii="Aptos" w:hAnsi="Aptos" w:cstheme="minorHAnsi"/>
                <w:sz w:val="21"/>
                <w:szCs w:val="21"/>
                <w:lang w:val="ro-RO"/>
              </w:rPr>
              <w:t>28</w:t>
            </w:r>
            <w:bookmarkEnd w:id="26"/>
          </w:p>
        </w:tc>
        <w:tc>
          <w:tcPr>
            <w:tcW w:w="83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3.6 Seminar</w:t>
            </w:r>
          </w:p>
        </w:tc>
        <w:tc>
          <w:tcPr>
            <w:tcW w:w="448"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7" w:name="bkm_36_hrs_curric_s"/>
            <w:r>
              <w:rPr>
                <w:rFonts w:cs="Calibri" w:ascii="Aptos" w:hAnsi="Aptos" w:cstheme="minorHAnsi"/>
                <w:sz w:val="21"/>
                <w:szCs w:val="21"/>
                <w:lang w:val="ro-RO"/>
              </w:rPr>
              <w:t>14</w:t>
            </w:r>
            <w:bookmarkEnd w:id="27"/>
          </w:p>
        </w:tc>
        <w:tc>
          <w:tcPr>
            <w:tcW w:w="1118"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3.6 Laborator</w:t>
            </w:r>
          </w:p>
        </w:tc>
        <w:tc>
          <w:tcPr>
            <w:tcW w:w="44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8" w:name="bkm_36_hrs_curric_l"/>
            <w:r>
              <w:rPr>
                <w:rFonts w:cs="Calibri" w:ascii="Aptos" w:hAnsi="Aptos" w:cstheme="minorHAnsi"/>
                <w:sz w:val="21"/>
                <w:szCs w:val="21"/>
                <w:lang w:val="ro-RO"/>
              </w:rPr>
              <w:t>-</w:t>
            </w:r>
            <w:bookmarkEnd w:id="28"/>
          </w:p>
        </w:tc>
        <w:tc>
          <w:tcPr>
            <w:tcW w:w="81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jc w:val="center"/>
              <w:rPr>
                <w:rFonts w:ascii="Aptos" w:hAnsi="Aptos" w:cs="Calibri" w:cstheme="minorHAnsi"/>
                <w:sz w:val="21"/>
                <w:szCs w:val="21"/>
                <w:lang w:val="ro-RO"/>
              </w:rPr>
            </w:pPr>
            <w:r>
              <w:rPr>
                <w:rFonts w:cs="Calibri" w:ascii="Aptos" w:hAnsi="Aptos" w:cstheme="minorHAnsi"/>
                <w:sz w:val="21"/>
                <w:szCs w:val="21"/>
                <w:lang w:val="ro-RO"/>
              </w:rPr>
              <w:t>3.6 Proiect</w:t>
            </w:r>
          </w:p>
        </w:tc>
        <w:tc>
          <w:tcPr>
            <w:tcW w:w="84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29" w:name="bkm_36_hrs_curric_p"/>
            <w:r>
              <w:rPr>
                <w:rFonts w:cs="Calibri" w:ascii="Aptos" w:hAnsi="Aptos" w:cstheme="minorHAnsi"/>
                <w:sz w:val="21"/>
                <w:szCs w:val="21"/>
                <w:lang w:val="ro-RO"/>
              </w:rPr>
              <w:t>-</w:t>
            </w:r>
            <w:bookmarkEnd w:id="29"/>
          </w:p>
        </w:tc>
      </w:tr>
      <w:tr>
        <w:trPr/>
        <w:tc>
          <w:tcPr>
            <w:tcW w:w="9628" w:type="dxa"/>
            <w:gridSpan w:val="11"/>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3.7 Distribuţia fondului de timp (ore pe semestru) pentru:</w:t>
            </w:r>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(a) Studiul după manual, suport de curs, bibliografie şi notiţe</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0" w:name="bkm_37_hrs_ind_std_a"/>
            <w:r>
              <w:rPr>
                <w:rFonts w:cs="Calibri" w:ascii="Aptos" w:hAnsi="Aptos" w:cstheme="minorHAnsi"/>
                <w:sz w:val="21"/>
                <w:szCs w:val="21"/>
                <w:lang w:val="ro-RO"/>
              </w:rPr>
              <w:t>26</w:t>
            </w:r>
            <w:bookmarkEnd w:id="30"/>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(b) Documentare suplimentară în bibliotecă, pe platforme electronice de specialitate şi pe teren</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1" w:name="bkm_37_hrs_ind_std_b"/>
            <w:r>
              <w:rPr>
                <w:rFonts w:cs="Calibri" w:ascii="Aptos" w:hAnsi="Aptos" w:cstheme="minorHAnsi"/>
                <w:sz w:val="21"/>
                <w:szCs w:val="21"/>
                <w:lang w:val="ro-RO"/>
              </w:rPr>
              <w:t>20</w:t>
            </w:r>
            <w:bookmarkEnd w:id="31"/>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(c) Pregătire seminarii / laboratoare, teme, referate, portofolii şi eseuri</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2" w:name="bkm_37_hrs_ind_std_c"/>
            <w:r>
              <w:rPr>
                <w:rFonts w:cs="Calibri" w:ascii="Aptos" w:hAnsi="Aptos" w:cstheme="minorHAnsi"/>
                <w:sz w:val="21"/>
                <w:szCs w:val="21"/>
                <w:lang w:val="ro-RO"/>
              </w:rPr>
              <w:t>18</w:t>
            </w:r>
            <w:bookmarkEnd w:id="32"/>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(d) Tutoriat</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3" w:name="bkm_37_hrs_ind_std_d"/>
            <w:r>
              <w:rPr>
                <w:rFonts w:cs="Calibri" w:ascii="Aptos" w:hAnsi="Aptos" w:cstheme="minorHAnsi"/>
                <w:sz w:val="21"/>
                <w:szCs w:val="21"/>
                <w:lang w:val="ro-RO"/>
              </w:rPr>
              <w:t>10</w:t>
            </w:r>
            <w:bookmarkEnd w:id="33"/>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(e) Examinări</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4" w:name="bkm_37_hrs_ind_std_e"/>
            <w:r>
              <w:rPr>
                <w:rFonts w:cs="Calibri" w:ascii="Aptos" w:hAnsi="Aptos" w:cstheme="minorHAnsi"/>
                <w:sz w:val="21"/>
                <w:szCs w:val="21"/>
                <w:lang w:val="ro-RO"/>
              </w:rPr>
              <w:t>2</w:t>
            </w:r>
            <w:bookmarkEnd w:id="34"/>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567" w:type="dxa"/>
            </w:tcMar>
            <w:vAlign w:val="center"/>
          </w:tcPr>
          <w:p>
            <w:pPr>
              <w:pStyle w:val="Normal"/>
              <w:shd w:val="clear" w:color="auto" w:fill="FFFFFF"/>
              <w:spacing w:before="0" w:after="0"/>
              <w:contextualSpacing/>
              <w:rPr>
                <w:rFonts w:ascii="Aptos" w:hAnsi="Aptos" w:cs="Calibri" w:cstheme="minorHAnsi"/>
                <w:sz w:val="21"/>
                <w:szCs w:val="21"/>
                <w:lang w:val="ro-RO"/>
              </w:rPr>
            </w:pPr>
            <w:r>
              <w:rPr>
                <w:rFonts w:cs="Calibri" w:ascii="Aptos" w:hAnsi="Aptos" w:cstheme="minorHAnsi"/>
                <w:sz w:val="21"/>
                <w:szCs w:val="21"/>
                <w:lang w:val="ro-RO"/>
              </w:rPr>
              <w:t>(f) Alte activităţi:</w:t>
            </w:r>
          </w:p>
        </w:tc>
        <w:tc>
          <w:tcPr>
            <w:tcW w:w="8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35" w:name="bkm_37_hrs_ind_std_f"/>
            <w:r>
              <w:rPr>
                <w:rFonts w:cs="Calibri" w:ascii="Aptos" w:hAnsi="Aptos" w:cstheme="minorHAnsi"/>
                <w:sz w:val="21"/>
                <w:szCs w:val="21"/>
                <w:lang w:val="ro-RO"/>
              </w:rPr>
              <w:t>7</w:t>
            </w:r>
            <w:bookmarkEnd w:id="35"/>
          </w:p>
        </w:tc>
        <w:tc>
          <w:tcPr>
            <w:tcW w:w="8" w:type="dxa"/>
            <w:tcBorders/>
          </w:tcPr>
          <w:p>
            <w:pPr>
              <w:pStyle w:val="Normal"/>
              <w:rPr/>
            </w:pPr>
            <w:r>
              <w:rPr/>
            </w:r>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40" w:type="dxa"/>
            </w:tcMar>
          </w:tcPr>
          <w:p>
            <w:pPr>
              <w:pStyle w:val="Normal"/>
              <w:rPr>
                <w:rFonts w:ascii="Aptos" w:hAnsi="Aptos" w:cs="Calibri" w:cstheme="minorHAnsi"/>
                <w:sz w:val="21"/>
                <w:szCs w:val="21"/>
                <w:lang w:val="ro-RO"/>
              </w:rPr>
            </w:pPr>
            <w:r>
              <w:rPr>
                <w:rFonts w:cs="Calibri" w:ascii="Aptos" w:hAnsi="Aptos" w:cstheme="minorHAnsi"/>
                <w:sz w:val="21"/>
                <w:szCs w:val="21"/>
                <w:lang w:val="ro-RO"/>
              </w:rPr>
              <w:t>3.8 Total ore studiu individual (suma (3.7(a)…3.7(f)))</w:t>
            </w:r>
          </w:p>
        </w:tc>
        <w:tc>
          <w:tcPr>
            <w:tcW w:w="84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36" w:name="bkm_38_hrs_ind_std_t"/>
            <w:r>
              <w:rPr>
                <w:rFonts w:cs="Calibri" w:ascii="Aptos" w:hAnsi="Aptos" w:cstheme="minorHAnsi"/>
                <w:sz w:val="21"/>
                <w:szCs w:val="21"/>
                <w:lang w:val="ro-RO"/>
              </w:rPr>
              <w:t>83</w:t>
            </w:r>
            <w:bookmarkEnd w:id="36"/>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40" w:type="dxa"/>
            </w:tcMar>
          </w:tcPr>
          <w:p>
            <w:pPr>
              <w:pStyle w:val="Normal"/>
              <w:rPr>
                <w:rFonts w:ascii="Aptos" w:hAnsi="Aptos" w:cs="Calibri" w:cstheme="minorHAnsi"/>
                <w:sz w:val="21"/>
                <w:szCs w:val="21"/>
                <w:lang w:val="ro-RO"/>
              </w:rPr>
            </w:pPr>
            <w:r>
              <w:rPr>
                <w:rFonts w:cs="Calibri" w:ascii="Aptos" w:hAnsi="Aptos" w:cstheme="minorHAnsi"/>
                <w:sz w:val="21"/>
                <w:szCs w:val="21"/>
                <w:lang w:val="ro-RO"/>
              </w:rPr>
              <w:t>3.9 Total ore pe semestru (3.4+3.8)</w:t>
            </w:r>
          </w:p>
        </w:tc>
        <w:tc>
          <w:tcPr>
            <w:tcW w:w="84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37" w:name="bkm_39_hrs_sem"/>
            <w:r>
              <w:rPr>
                <w:rFonts w:cs="Calibri" w:ascii="Aptos" w:hAnsi="Aptos" w:cstheme="minorHAnsi"/>
                <w:sz w:val="21"/>
                <w:szCs w:val="21"/>
                <w:lang w:val="ro-RO"/>
              </w:rPr>
              <w:t>125</w:t>
            </w:r>
            <w:bookmarkEnd w:id="37"/>
          </w:p>
        </w:tc>
      </w:tr>
      <w:tr>
        <w:trPr/>
        <w:tc>
          <w:tcPr>
            <w:tcW w:w="8789" w:type="dxa"/>
            <w:gridSpan w:val="10"/>
            <w:tcBorders>
              <w:top w:val="single" w:sz="4" w:space="0" w:color="000000"/>
              <w:left w:val="single" w:sz="4" w:space="0" w:color="000000"/>
              <w:bottom w:val="single" w:sz="4" w:space="0" w:color="000000"/>
              <w:right w:val="single" w:sz="4" w:space="0" w:color="000000"/>
            </w:tcBorders>
            <w:shd w:color="auto" w:fill="FFFFFF" w:val="clear"/>
            <w:tcMar>
              <w:left w:w="40" w:type="dxa"/>
            </w:tcMar>
          </w:tcPr>
          <w:p>
            <w:pPr>
              <w:pStyle w:val="Normal"/>
              <w:rPr>
                <w:rFonts w:ascii="Aptos" w:hAnsi="Aptos" w:cs="Calibri" w:cstheme="minorHAnsi"/>
                <w:sz w:val="21"/>
                <w:szCs w:val="21"/>
                <w:lang w:val="ro-RO"/>
              </w:rPr>
            </w:pPr>
            <w:r>
              <w:rPr>
                <w:rFonts w:cs="Calibri" w:ascii="Aptos" w:hAnsi="Aptos" w:cstheme="minorHAnsi"/>
                <w:sz w:val="21"/>
                <w:szCs w:val="21"/>
                <w:lang w:val="ro-RO"/>
              </w:rPr>
              <w:t>3.10 Numărul de credite</w:t>
            </w:r>
          </w:p>
        </w:tc>
        <w:tc>
          <w:tcPr>
            <w:tcW w:w="847" w:type="dxa"/>
            <w:gridSpan w:val="2"/>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spacing w:before="0" w:after="0"/>
              <w:contextualSpacing/>
              <w:jc w:val="center"/>
              <w:rPr>
                <w:rFonts w:ascii="Aptos" w:hAnsi="Aptos" w:cs="Calibri" w:cstheme="minorHAnsi"/>
                <w:sz w:val="21"/>
                <w:szCs w:val="21"/>
                <w:lang w:val="ro-RO"/>
              </w:rPr>
            </w:pPr>
            <w:bookmarkStart w:id="38" w:name="bkm_310_num_credits"/>
            <w:r>
              <w:rPr>
                <w:rFonts w:cs="Calibri" w:ascii="Aptos" w:hAnsi="Aptos" w:cstheme="minorHAnsi"/>
                <w:sz w:val="21"/>
                <w:szCs w:val="21"/>
                <w:lang w:val="ro-RO"/>
              </w:rPr>
              <w:t>5</w:t>
            </w:r>
            <w:bookmarkEnd w:id="38"/>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shd w:val="clear" w:color="auto" w:fill="FFFFFF"/>
        <w:tabs>
          <w:tab w:val="clear" w:pos="708"/>
          <w:tab w:val="left" w:pos="3064" w:leader="none"/>
        </w:tabs>
        <w:ind w:left="40"/>
        <w:rPr>
          <w:rFonts w:ascii="Aptos" w:hAnsi="Aptos" w:cs="Calibri" w:cstheme="minorHAnsi"/>
          <w:sz w:val="21"/>
          <w:szCs w:val="21"/>
          <w:lang w:val="ro-RO"/>
        </w:rPr>
      </w:pPr>
      <w:r>
        <w:rPr>
          <w:rFonts w:cs="Calibri" w:ascii="Aptos" w:hAnsi="Aptos" w:cstheme="minorHAnsi"/>
          <w:b/>
          <w:bCs/>
          <w:sz w:val="21"/>
          <w:szCs w:val="21"/>
          <w:lang w:val="ro-RO"/>
        </w:rPr>
        <w:t>4. Precondiţii</w:t>
      </w:r>
      <w:r>
        <w:rPr>
          <w:rFonts w:cs="Calibri" w:ascii="Aptos" w:hAnsi="Aptos" w:cstheme="minorHAnsi"/>
          <w:sz w:val="21"/>
          <w:szCs w:val="21"/>
          <w:lang w:val="ro-RO"/>
        </w:rPr>
        <w:t xml:space="preserve"> (acolo unde este cazul)</w:t>
      </w:r>
    </w:p>
    <w:tbl>
      <w:tblPr>
        <w:tblW w:w="4950" w:type="pct"/>
        <w:jc w:val="left"/>
        <w:tblInd w:w="0" w:type="dxa"/>
        <w:tblLayout w:type="fixed"/>
        <w:tblCellMar>
          <w:top w:w="0" w:type="dxa"/>
          <w:left w:w="40" w:type="dxa"/>
          <w:bottom w:w="0" w:type="dxa"/>
          <w:right w:w="40" w:type="dxa"/>
        </w:tblCellMar>
        <w:tblLook w:val="0000" w:noHBand="0" w:noVBand="0" w:firstColumn="0" w:lastRow="0" w:lastColumn="0" w:firstRow="0"/>
      </w:tblPr>
      <w:tblGrid>
        <w:gridCol w:w="3383"/>
        <w:gridCol w:w="6157"/>
      </w:tblGrid>
      <w:tr>
        <w:trPr>
          <w:trHeight w:val="309" w:hRule="atLeast"/>
        </w:trPr>
        <w:tc>
          <w:tcPr>
            <w:tcW w:w="338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4.1 de curriculum</w:t>
            </w:r>
          </w:p>
        </w:tc>
        <w:tc>
          <w:tcPr>
            <w:tcW w:w="61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39" w:name="bkm_41_prereq_curric"/>
            <w:r>
              <w:rPr>
                <w:rFonts w:cs="Calibri" w:ascii="Aptos" w:hAnsi="Aptos" w:cstheme="minorHAnsi"/>
                <w:sz w:val="21"/>
                <w:szCs w:val="21"/>
                <w:lang w:val="ro-RO"/>
              </w:rPr>
              <w:t>Cunoștințe si competente didactice corespunzătoare nivelului de absolvire a programelor de formare psihopedagogică cu certificare pentru profesia didactică de nivel 1 (inițial).</w:t>
            </w:r>
            <w:bookmarkEnd w:id="39"/>
          </w:p>
        </w:tc>
      </w:tr>
      <w:tr>
        <w:trPr>
          <w:trHeight w:val="377" w:hRule="atLeast"/>
        </w:trPr>
        <w:tc>
          <w:tcPr>
            <w:tcW w:w="338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4.2 de competenţe</w:t>
            </w:r>
          </w:p>
        </w:tc>
        <w:tc>
          <w:tcPr>
            <w:tcW w:w="61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40" w:name="bkm_42_prereq_compet"/>
            <w:r>
              <w:rPr>
                <w:rFonts w:cs="Calibri" w:ascii="Aptos" w:hAnsi="Aptos" w:cstheme="minorHAnsi"/>
                <w:sz w:val="21"/>
                <w:szCs w:val="21"/>
                <w:lang w:val="ro-RO"/>
              </w:rPr>
              <w:t>Operare pe calculator la nivel începător (utilizator): a. Folosire de software de tip Office (e.g. Microsoft Word, Open Office, Libre Office), b. Navigare pe internet la nivel începător.</w:t>
            </w:r>
            <w:bookmarkEnd w:id="40"/>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shd w:val="clear" w:color="auto" w:fill="FFFFFF"/>
        <w:tabs>
          <w:tab w:val="clear" w:pos="708"/>
          <w:tab w:val="left" w:pos="3064" w:leader="none"/>
        </w:tabs>
        <w:rPr>
          <w:rFonts w:ascii="Aptos" w:hAnsi="Aptos" w:cs="Calibri" w:cstheme="minorHAnsi"/>
          <w:sz w:val="21"/>
          <w:szCs w:val="21"/>
          <w:lang w:val="ro-RO"/>
        </w:rPr>
      </w:pPr>
      <w:r>
        <w:rPr>
          <w:rFonts w:cs="Calibri" w:ascii="Aptos" w:hAnsi="Aptos" w:cstheme="minorHAnsi"/>
          <w:b/>
          <w:bCs/>
          <w:sz w:val="21"/>
          <w:szCs w:val="21"/>
          <w:lang w:val="ro-RO"/>
        </w:rPr>
        <w:t>5. Condiţii</w:t>
      </w:r>
      <w:r>
        <w:rPr>
          <w:rFonts w:cs="Calibri" w:ascii="Aptos" w:hAnsi="Aptos" w:cstheme="minorHAnsi"/>
          <w:sz w:val="21"/>
          <w:szCs w:val="21"/>
          <w:lang w:val="ro-RO"/>
        </w:rPr>
        <w:t xml:space="preserve"> (acolo unde este cazul)</w:t>
      </w:r>
    </w:p>
    <w:tbl>
      <w:tblPr>
        <w:tblW w:w="5000" w:type="pct"/>
        <w:jc w:val="left"/>
        <w:tblInd w:w="0" w:type="dxa"/>
        <w:tblLayout w:type="fixed"/>
        <w:tblCellMar>
          <w:top w:w="0" w:type="dxa"/>
          <w:left w:w="40" w:type="dxa"/>
          <w:bottom w:w="0" w:type="dxa"/>
          <w:right w:w="40" w:type="dxa"/>
        </w:tblCellMar>
        <w:tblLook w:val="0000" w:noHBand="0" w:noVBand="0" w:firstColumn="0" w:lastRow="0" w:lastColumn="0" w:firstRow="0"/>
      </w:tblPr>
      <w:tblGrid>
        <w:gridCol w:w="3406"/>
        <w:gridCol w:w="6231"/>
      </w:tblGrid>
      <w:tr>
        <w:trPr>
          <w:trHeight w:val="321" w:hRule="atLeast"/>
        </w:trPr>
        <w:tc>
          <w:tcPr>
            <w:tcW w:w="340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5.1. de desfăşurare a cursului</w:t>
            </w:r>
          </w:p>
        </w:tc>
        <w:tc>
          <w:tcPr>
            <w:tcW w:w="623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41" w:name="bkm_51_req_course"/>
            <w:r>
              <w:rPr>
                <w:rFonts w:cs="Calibri" w:ascii="Aptos" w:hAnsi="Aptos" w:cstheme="minorHAnsi"/>
                <w:sz w:val="21"/>
                <w:szCs w:val="21"/>
                <w:lang w:val="ro-RO"/>
              </w:rPr>
              <w:t xml:space="preserve">Pentru instruire si invatare hibrida si combinata (hybrid &amp; blended): LMS adecvat (e.g., platforma MS Teams, Moodle, Blackboard, Canvas, etc.); acces la internet; acces la tehnica de comunicare audio-video compatibila. </w:t>
              <w:br/>
              <w:t xml:space="preserve">Pentru predare onsite: Sală de curs, videoproiector &amp; ecran de proiectare, difuzoare, tablă / instalație de sonorizare, tablă (clasică sau interactivă), flip chart.</w:t>
            </w:r>
            <w:bookmarkEnd w:id="41"/>
          </w:p>
        </w:tc>
      </w:tr>
      <w:tr>
        <w:trPr>
          <w:trHeight w:val="660" w:hRule="atLeast"/>
        </w:trPr>
        <w:tc>
          <w:tcPr>
            <w:tcW w:w="340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5.2. de desfăşurare a seminarului / laboratorului / proiectului</w:t>
            </w:r>
          </w:p>
        </w:tc>
        <w:tc>
          <w:tcPr>
            <w:tcW w:w="623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bookmarkStart w:id="42" w:name="bkm_52_req_app"/>
            <w:r>
              <w:rPr>
                <w:rFonts w:cs="Calibri" w:ascii="Aptos" w:hAnsi="Aptos" w:cstheme="minorHAnsi"/>
                <w:sz w:val="21"/>
                <w:szCs w:val="21"/>
                <w:lang w:val="ro-RO"/>
              </w:rPr>
              <w:t xml:space="preserve">Pentru instruire si invatare hibrida si combinata (hybrid &amp; blended): LMS adecvat (e.g., platforma MS Teams, Moodle, Blackboard, Canvas, etc.); acces la internet; acces la tehnica de comunicare audio-video compatibila. </w:t>
              <w:br/>
              <w:t xml:space="preserve">Pentru predare onsite: Sală de curs, videoproiector &amp; ecran de proiectare, difuzoare, tablă / instalație de sonorizare, tablă (clasică sau interactivă), flip chart.</w:t>
            </w:r>
            <w:bookmarkEnd w:id="42"/>
          </w:p>
        </w:tc>
      </w:tr>
    </w:tbl>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rPr>
          <w:rFonts w:ascii="Aptos" w:hAnsi="Aptos" w:cs="Calibri" w:cstheme="minorHAnsi"/>
          <w:b/>
          <w:bCs/>
          <w:sz w:val="21"/>
          <w:szCs w:val="21"/>
          <w:lang w:val="ro-RO"/>
        </w:rPr>
      </w:pPr>
      <w:r>
        <w:rPr>
          <w:rFonts w:cs="Calibri" w:ascii="Aptos" w:hAnsi="Aptos" w:cstheme="minorHAnsi"/>
          <w:b/>
          <w:bCs/>
          <w:sz w:val="21"/>
          <w:szCs w:val="21"/>
          <w:lang w:val="ro-RO"/>
        </w:rPr>
        <w:t>6. Competenţele specifice acumulate</w:t>
      </w:r>
    </w:p>
    <w:tbl>
      <w:tblPr>
        <w:tblStyle w:val="TableGrid"/>
        <w:tblW w:w="960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13"/>
        <w:gridCol w:w="8894"/>
      </w:tblGrid>
      <w:tr>
        <w:trPr>
          <w:trHeight w:val="1246" w:hRule="atLeast"/>
        </w:trPr>
        <w:tc>
          <w:tcPr>
            <w:tcW w:w="713" w:type="dxa"/>
            <w:tcBorders/>
            <w:shd w:color="auto" w:fill="D9D9D9" w:themeFill="background1" w:themeFillShade="d9" w:val="clear"/>
            <w:textDirection w:val="btLr"/>
          </w:tcPr>
          <w:p>
            <w:pPr>
              <w:pStyle w:val="Normal"/>
              <w:widowControl/>
              <w:spacing w:before="0" w:after="0"/>
              <w:jc w:val="center"/>
              <w:rPr>
                <w:rFonts w:ascii="Aptos" w:hAnsi="Aptos" w:cs="Calibri" w:cstheme="minorHAnsi"/>
                <w:b/>
                <w:bCs/>
                <w:sz w:val="21"/>
                <w:szCs w:val="21"/>
                <w:lang w:val="ro-RO"/>
              </w:rPr>
            </w:pPr>
            <w:r>
              <w:rPr>
                <w:rFonts w:cs="Calibri" w:ascii="Aptos" w:hAnsi="Aptos" w:cstheme="minorHAnsi"/>
                <w:kern w:val="0"/>
                <w:sz w:val="21"/>
                <w:szCs w:val="21"/>
                <w:lang w:val="ro-RO" w:bidi="ar-SA"/>
              </w:rPr>
              <w:t>Competenţe profesionale</w:t>
            </w:r>
          </w:p>
        </w:tc>
        <w:tc>
          <w:tcPr>
            <w:tcW w:w="8894" w:type="dxa"/>
            <w:tcBorders/>
            <w:shd w:color="auto" w:fill="D9D9D9" w:themeFill="background1" w:themeFillShade="d9" w:val="clear"/>
          </w:tcPr>
          <w:p>
            <w:pPr>
              <w:pStyle w:val="Normal"/>
              <w:widowControl/>
              <w:spacing w:before="0" w:after="0"/>
              <w:jc w:val="left"/>
              <w:rPr>
                <w:rFonts w:ascii="Aptos" w:hAnsi="Aptos" w:cs="Calibri" w:cstheme="minorHAnsi"/>
                <w:b/>
                <w:sz w:val="21"/>
                <w:szCs w:val="21"/>
                <w:lang w:val="ro-RO"/>
              </w:rPr>
            </w:pPr>
            <w:bookmarkStart w:id="43" w:name="bkm_6_comp_prof"/>
            <w:r>
              <w:rPr>
                <w:rFonts w:cs="Calibri" w:ascii="Aptos" w:hAnsi="Aptos" w:cstheme="minorHAnsi"/>
                <w:kern w:val="0"/>
                <w:sz w:val="21"/>
                <w:szCs w:val="21"/>
                <w:lang w:val="ro-RO" w:bidi="ar-SA"/>
              </w:rPr>
              <w:t xml:space="preserve">C1. Proiectarea unor programe de instruire sau educaționale adaptate pentru diverse niveluri de vârstă/pregătire și diverse grupuri țintă. </w:t>
              <w:br/>
              <w:t xml:space="preserve">C2. Consilierea, orientarea și asistarea psihopedagogică a diverselor categorii de persoane/ grupuri educaționale (elevi, studenți, familii, profesori, angajați etc.). </w:t>
              <w:br/>
              <w:t xml:space="preserve">C3. Autoevaluarea și ameliorarea continuă a practicilor profesionale și a evoluției în carieră.</w:t>
            </w:r>
            <w:bookmarkEnd w:id="43"/>
          </w:p>
        </w:tc>
      </w:tr>
      <w:tr>
        <w:trPr>
          <w:trHeight w:val="1427" w:hRule="atLeast"/>
          <w:cantSplit w:val="true"/>
        </w:trPr>
        <w:tc>
          <w:tcPr>
            <w:tcW w:w="713" w:type="dxa"/>
            <w:tcBorders/>
            <w:shd w:color="auto" w:fill="D9D9D9" w:themeFill="background1" w:themeFillShade="d9" w:val="clear"/>
            <w:textDirection w:val="btLr"/>
          </w:tcPr>
          <w:p>
            <w:pPr>
              <w:pStyle w:val="Normal"/>
              <w:widowControl/>
              <w:spacing w:before="0" w:after="0"/>
              <w:ind w:left="113" w:right="113"/>
              <w:jc w:val="center"/>
              <w:rPr>
                <w:rFonts w:ascii="Aptos" w:hAnsi="Aptos" w:cs="Calibri" w:cstheme="minorHAnsi"/>
                <w:b/>
                <w:bCs/>
                <w:sz w:val="21"/>
                <w:szCs w:val="21"/>
                <w:lang w:val="ro-RO"/>
              </w:rPr>
            </w:pPr>
            <w:r>
              <w:rPr>
                <w:rFonts w:cs="Calibri" w:ascii="Aptos" w:hAnsi="Aptos" w:cstheme="minorHAnsi"/>
                <w:kern w:val="0"/>
                <w:sz w:val="21"/>
                <w:szCs w:val="21"/>
                <w:lang w:val="ro-RO" w:bidi="ar-SA"/>
              </w:rPr>
              <w:t>Competenţe transversale</w:t>
            </w:r>
          </w:p>
        </w:tc>
        <w:tc>
          <w:tcPr>
            <w:tcW w:w="8894" w:type="dxa"/>
            <w:tcBorders/>
            <w:shd w:color="auto" w:fill="D9D9D9" w:themeFill="background1" w:themeFillShade="d9" w:val="clear"/>
          </w:tcPr>
          <w:p>
            <w:pPr>
              <w:pStyle w:val="Normal"/>
              <w:widowControl/>
              <w:spacing w:before="0" w:after="0"/>
              <w:jc w:val="left"/>
              <w:rPr>
                <w:rFonts w:ascii="Aptos" w:hAnsi="Aptos" w:cs="Calibri" w:cstheme="minorHAnsi"/>
                <w:sz w:val="21"/>
                <w:szCs w:val="21"/>
                <w:lang w:val="ro-RO"/>
              </w:rPr>
            </w:pPr>
            <w:bookmarkStart w:id="44" w:name="bkm_6_comp_cross"/>
            <w:r>
              <w:rPr>
                <w:rFonts w:cs="Calibri" w:ascii="Aptos" w:hAnsi="Aptos" w:cstheme="minorHAnsi"/>
                <w:kern w:val="0"/>
                <w:sz w:val="21"/>
                <w:szCs w:val="21"/>
                <w:lang w:val="ro-RO" w:bidi="ar-SA"/>
              </w:rPr>
              <w:t xml:space="preserve">CT1. Aplicarea principiilor si normelor de deontologie profesională, fundamentate pe opțiuni valorice explicite, specifice specialistului în științele educației. </w:t>
              <w:br/>
              <w:t xml:space="preserve">CT2. Cooperarea eficientă în echipe de lucru profesionale, interdisciplinare, specifice desfășurării proiectelor și programelor din domeniul științelor educației. </w:t>
              <w:br/>
              <w:t xml:space="preserve">CT3. Utilizarea metodelor și tehnicilor eficiente de învățare pe tot parcursul vieții, în vederea formării și dezvoltării profesionale continue.</w:t>
            </w:r>
            <w:bookmarkStart w:id="45" w:name="OLE_LINK1"/>
            <w:bookmarkEnd w:id="44"/>
            <w:bookmarkEnd w:id="45"/>
          </w:p>
        </w:tc>
      </w:tr>
    </w:tbl>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pacing w:lineRule="auto" w:line="276"/>
        <w:rPr>
          <w:rFonts w:ascii="Aptos" w:hAnsi="Aptos" w:cs="Calibri" w:cstheme="minorHAnsi"/>
          <w:b/>
          <w:bCs/>
          <w:sz w:val="21"/>
          <w:szCs w:val="21"/>
          <w:lang w:val="ro-RO"/>
        </w:rPr>
      </w:pPr>
      <w:bookmarkStart w:id="46" w:name="_Hlk215646569"/>
      <w:bookmarkEnd w:id="46"/>
      <w:r>
        <w:rPr>
          <w:rFonts w:cs="Calibri" w:ascii="Aptos" w:hAnsi="Aptos" w:cstheme="minorHAnsi"/>
          <w:b/>
          <w:bCs/>
          <w:sz w:val="21"/>
          <w:szCs w:val="21"/>
          <w:lang w:val="ro-RO"/>
        </w:rPr>
        <w:t>7. Rezultatele așteptate ale învățării</w:t>
      </w:r>
    </w:p>
    <w:tbl>
      <w:tblPr>
        <w:tblStyle w:val="TableGrid"/>
        <w:tblW w:w="960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693"/>
        <w:gridCol w:w="8913"/>
      </w:tblGrid>
      <w:tr>
        <w:trPr>
          <w:trHeight w:val="1320" w:hRule="atLeast"/>
          <w:cantSplit w:val="true"/>
        </w:trPr>
        <w:tc>
          <w:tcPr>
            <w:tcW w:w="693" w:type="dxa"/>
            <w:tcBorders/>
            <w:shd w:color="auto" w:fill="E0E0E0" w:val="clear"/>
            <w:textDirection w:val="btLr"/>
            <w:vAlign w:val="center"/>
          </w:tcPr>
          <w:p>
            <w:pPr>
              <w:pStyle w:val="Normal"/>
              <w:widowControl/>
              <w:spacing w:before="0" w:after="0"/>
              <w:jc w:val="center"/>
              <w:rPr>
                <w:rFonts w:ascii="Aptos" w:hAnsi="Aptos"/>
                <w:sz w:val="21"/>
                <w:szCs w:val="21"/>
                <w:lang w:val="ro-RO"/>
              </w:rPr>
            </w:pPr>
            <w:r>
              <w:rPr>
                <w:rFonts w:cs="Times New Roman" w:ascii="Aptos" w:hAnsi="Aptos"/>
                <w:kern w:val="0"/>
                <w:sz w:val="21"/>
                <w:szCs w:val="21"/>
                <w:lang w:val="ro-RO" w:bidi="ar-SA"/>
              </w:rPr>
              <w:t>Cunostinte</w:t>
            </w:r>
          </w:p>
        </w:tc>
        <w:tc>
          <w:tcPr>
            <w:tcW w:w="8913" w:type="dxa"/>
            <w:tcBorders/>
            <w:shd w:color="auto" w:fill="E0E0E0" w:val="clear"/>
            <w:vAlign w:val="center"/>
          </w:tcPr>
          <w:p>
            <w:pPr>
              <w:pStyle w:val="Normal"/>
              <w:widowControl/>
              <w:spacing w:before="0" w:after="0"/>
              <w:jc w:val="left"/>
              <w:rPr>
                <w:rFonts w:ascii="Aptos" w:hAnsi="Aptos"/>
                <w:color w:val="EE0000"/>
                <w:sz w:val="21"/>
                <w:szCs w:val="21"/>
                <w:lang w:val="ro-RO"/>
              </w:rPr>
            </w:pPr>
            <w:bookmarkStart w:id="47" w:name="bkm_exp_res_know"/>
            <w:r>
              <w:rPr>
                <w:rFonts w:cs="Times New Roman" w:ascii="Aptos" w:hAnsi="Aptos"/>
                <w:kern w:val="0"/>
                <w:sz w:val="21"/>
                <w:szCs w:val="21"/>
                <w:lang w:val="ro-RO" w:bidi="ar-SA"/>
              </w:rPr>
              <w:t xml:space="preserve">Studentul (candidat la profesia didactica) -definește concepte de bază relevante pentru învățarea adolescenților/adulților (învățare, motivație, evaluare, autoreglare, climat educațional) în predare la liceu, colegiu și universitate.</w:t>
              <w:br/>
              <w:t xml:space="preserve">-distinge perspective asupra învățării și modul în care implicațiile se schimbă odată cu autonomia și dezvoltarea expertizei atunci când proiectează învățarea pentru studenți mai independenți și conținut complex.</w:t>
              <w:br/>
              <w:t xml:space="preserve">-explică cogniția în învățarea complexă (cunoștințe anterioare, concepții greșite, încărcare cognitivă, efectul inversării expertizei, transfer) în proiectarea de cursuri/seminare/laboratoare pe teme disciplinare avansate.</w:t>
              <w:br/>
              <w:t xml:space="preserve">-explică motivația la adolescenți/adulți (identitate, valoare, scopuri, autoeficacitate, apartenență) și influența predării atunci când susține proiecte pe termen lung și studiu independent.</w:t>
              <w:br/>
              <w:t xml:space="preserve">-sintetizează învățarea autoreglată și metacogniția în contexte de studiu independent pentru planificare, monitorizare și utilizarea strategiilor la nivel de curs.</w:t>
              <w:br/>
              <w:t xml:space="preserve">-explică principii de evaluare pentru competențe complexe (rubrici, validitate, fidelitate, alfabetizare privind feedbackul) în notarea proiectelor, eseurilor, lucrărilor de laborator, prezentărilor și portofoliilor.</w:t>
              <w:br/>
              <w:t xml:space="preserve">-descrie procese de grup la învățăcei mai maturi (explicitarea conceptelor de colaborare, peer-learning, peer-assessment, „social loafing”, norme de grup, conflict) în gestionarea seminarelor, lucrului în echipă, laboratoarelor și PBL.</w:t>
              <w:br/>
              <w:t xml:space="preserve">-explică incluziunea și accesibilitatea (sprijinuri de tip UDL, amenințarea stereotipului, participare echitabilă) pentru cohorte diverse, lărgirea participării și acomodări pentru dizabilități.</w:t>
              <w:br/>
              <w:t xml:space="preserve">-explică integritatea academică și abordări orientate spre învățare privind plagiatul și munca mediată de AI în proiectarea evaluărilor și procese de integritate în învățământul superior.</w:t>
              <w:br/>
              <w:t xml:space="preserve">-descrie principii de predare cu tehnologie care susțin învățarea (încărcare cognitivă, design multimodal, interacțiune online) în platforme blended/online, învățare în LMS și înregistrări de curs.</w:t>
            </w:r>
            <w:bookmarkEnd w:id="47"/>
          </w:p>
        </w:tc>
      </w:tr>
      <w:tr>
        <w:trPr>
          <w:trHeight w:val="1273" w:hRule="atLeast"/>
          <w:cantSplit w:val="true"/>
        </w:trPr>
        <w:tc>
          <w:tcPr>
            <w:tcW w:w="693" w:type="dxa"/>
            <w:tcBorders/>
            <w:shd w:color="auto" w:fill="E0E0E0" w:val="clear"/>
            <w:textDirection w:val="btLr"/>
            <w:vAlign w:val="center"/>
          </w:tcPr>
          <w:p>
            <w:pPr>
              <w:pStyle w:val="Normal"/>
              <w:widowControl/>
              <w:spacing w:before="0" w:after="0"/>
              <w:jc w:val="center"/>
              <w:rPr>
                <w:rFonts w:ascii="Aptos" w:hAnsi="Aptos"/>
                <w:sz w:val="21"/>
                <w:szCs w:val="21"/>
                <w:lang w:val="ro-RO"/>
              </w:rPr>
            </w:pPr>
            <w:r>
              <w:rPr>
                <w:rFonts w:cs="Times New Roman" w:ascii="Aptos" w:hAnsi="Aptos"/>
                <w:kern w:val="0"/>
                <w:sz w:val="21"/>
                <w:szCs w:val="21"/>
                <w:lang w:val="ro-RO" w:bidi="ar-SA"/>
              </w:rPr>
              <w:t>Abilitati</w:t>
            </w:r>
          </w:p>
        </w:tc>
        <w:tc>
          <w:tcPr>
            <w:tcW w:w="8913" w:type="dxa"/>
            <w:tcBorders/>
            <w:shd w:color="auto" w:fill="E0E0E0" w:val="clear"/>
            <w:vAlign w:val="center"/>
          </w:tcPr>
          <w:p>
            <w:pPr>
              <w:pStyle w:val="Normal"/>
              <w:widowControl/>
              <w:spacing w:before="0" w:after="0"/>
              <w:jc w:val="left"/>
              <w:rPr>
                <w:rFonts w:ascii="Aptos" w:hAnsi="Aptos"/>
                <w:sz w:val="21"/>
                <w:szCs w:val="21"/>
                <w:lang w:val="ro-RO"/>
              </w:rPr>
            </w:pPr>
            <w:bookmarkStart w:id="48" w:name="bkm_exp_res_skills"/>
            <w:r>
              <w:rPr>
                <w:rFonts w:cs="Times New Roman" w:ascii="Aptos" w:hAnsi="Aptos"/>
                <w:kern w:val="0"/>
                <w:sz w:val="21"/>
                <w:szCs w:val="21"/>
                <w:lang w:val="ro-RO" w:bidi="ar-SA"/>
              </w:rPr>
              <w:t xml:space="preserve">Studentul (candidat la profesia didactica) -analizează dificultăți de învățare și concepții greșite în conținut complex folosind psihologia educației în diagnosticarea barierelor în cursuri, seminare, laboratoare și tutoriale.</w:t>
              <w:br/>
              <w:t xml:space="preserve">-proiectează structuri de curs/modul folosind alinierea constructivă (rezultate–activități–evaluare) informată de principii ale învățării în cursuri universitare, trasee avansate la liceu și module la colegiu.</w:t>
              <w:br/>
              <w:t xml:space="preserve">-proiectează sarcini care promovează procesare profundă și transfer (PBL, studii de caz, investigație, proiecte) pentru învățare disciplinară avansată și pregătire profesională.</w:t>
              <w:br/>
              <w:t xml:space="preserve">-sprijină (scaffoldează) autoreglarea și metacogniția (strategii de studiu, instrumente de planificare, alfabetizare privind feedbackul) în studiu independent și sarcini pe termen lung.</w:t>
              <w:br/>
              <w:t xml:space="preserve">-creează instrumente de evaluare și rubrici pentru performanțe complexe; aplică practici corecte de notare în proiecte, eseuri, laboratoare, prezentări și evaluare transparentă.</w:t>
              <w:br/>
              <w:t xml:space="preserve">-oferă feedback formativ de înaltă calitate și facilitează procese de peer-feedback în seminare, cursuri cu scriere extensivă, rapoarte de laborator și „studio critique”.</w:t>
              <w:br/>
              <w:t xml:space="preserve">-facilitează discuție și participare productivă în formate de grup mare și mic în cursuri, seminare, tutoriale și sesiuni hibride/online.</w:t>
              <w:br/>
              <w:t xml:space="preserve">-gestionează dinamica colaborării și conflictul folosind procese structurate în proiecte de echipă, laboratoare și sarcini de grup.</w:t>
              <w:br/>
              <w:t xml:space="preserve">-colaborează cu servicii academice (consiliere, servicii pentru dizabilități, asigurarea calității, comisii de program) în sprijin coordonat pentru studenți și îmbunătățirea curriculumului.</w:t>
              <w:br/>
              <w:t xml:space="preserve">-implementează proiectări de evaluare „integrity-aware” (sarcini autentice, susțineri orale, predări etapizate), menținând un cadru educativ în reducerea conduitei incorecte și susținerea comportamentelor etice.</w:t>
            </w:r>
            <w:bookmarkEnd w:id="48"/>
          </w:p>
        </w:tc>
      </w:tr>
      <w:tr>
        <w:trPr>
          <w:trHeight w:val="1726" w:hRule="atLeast"/>
          <w:cantSplit w:val="true"/>
        </w:trPr>
        <w:tc>
          <w:tcPr>
            <w:tcW w:w="693" w:type="dxa"/>
            <w:tcBorders/>
            <w:shd w:color="auto" w:fill="E0E0E0" w:val="clear"/>
            <w:textDirection w:val="btLr"/>
            <w:vAlign w:val="center"/>
          </w:tcPr>
          <w:p>
            <w:pPr>
              <w:pStyle w:val="Normal"/>
              <w:widowControl/>
              <w:spacing w:before="0" w:after="0"/>
              <w:jc w:val="center"/>
              <w:rPr>
                <w:rFonts w:ascii="Aptos" w:hAnsi="Aptos"/>
                <w:sz w:val="21"/>
                <w:szCs w:val="21"/>
                <w:lang w:val="ro-RO"/>
              </w:rPr>
            </w:pPr>
            <w:r>
              <w:rPr>
                <w:rFonts w:cs="Times New Roman" w:ascii="Aptos" w:hAnsi="Aptos"/>
                <w:kern w:val="0"/>
                <w:sz w:val="21"/>
                <w:szCs w:val="21"/>
                <w:lang w:val="ro-RO" w:bidi="ar-SA"/>
              </w:rPr>
              <w:t>Responsabilitate si autonomie</w:t>
            </w:r>
          </w:p>
          <w:p>
            <w:pPr>
              <w:pStyle w:val="Normal"/>
              <w:widowControl/>
              <w:spacing w:before="0" w:after="0"/>
              <w:jc w:val="center"/>
              <w:rPr>
                <w:rFonts w:ascii="Aptos" w:hAnsi="Aptos"/>
                <w:sz w:val="21"/>
                <w:szCs w:val="21"/>
                <w:lang w:val="ro-RO"/>
              </w:rPr>
            </w:pPr>
            <w:r>
              <w:rPr>
                <w:rFonts w:cs="Times New Roman" w:ascii="Aptos" w:hAnsi="Aptos"/>
                <w:kern w:val="0"/>
                <w:sz w:val="21"/>
                <w:szCs w:val="21"/>
                <w:lang w:val="ro-RO" w:bidi="ar-SA"/>
              </w:rPr>
            </w:r>
          </w:p>
        </w:tc>
        <w:tc>
          <w:tcPr>
            <w:tcW w:w="8913" w:type="dxa"/>
            <w:tcBorders/>
            <w:shd w:color="auto" w:fill="E0E0E0" w:val="clear"/>
            <w:vAlign w:val="center"/>
          </w:tcPr>
          <w:p>
            <w:pPr>
              <w:pStyle w:val="Normal"/>
              <w:widowControl/>
              <w:spacing w:before="0" w:after="0"/>
              <w:jc w:val="left"/>
              <w:rPr>
                <w:rFonts w:ascii="Aptos" w:hAnsi="Aptos"/>
                <w:sz w:val="21"/>
                <w:szCs w:val="21"/>
                <w:lang w:val="ro-RO"/>
              </w:rPr>
            </w:pPr>
            <w:bookmarkStart w:id="49" w:name="bkm_exp_res_resp"/>
            <w:r>
              <w:rPr>
                <w:rFonts w:cs="Times New Roman" w:ascii="Aptos" w:hAnsi="Aptos"/>
                <w:kern w:val="0"/>
                <w:sz w:val="21"/>
                <w:szCs w:val="21"/>
                <w:lang w:val="ro-RO" w:bidi="ar-SA"/>
              </w:rPr>
              <w:t xml:space="preserve">Studentul (candidat la profesia didactica) -își asumă responsabilitatea pentru un mediu de învățare sigur și respectuos, incluzând limite profesionale și trimitere când este necesar în cohorte adulte/târziu-adolescente, în cadrul procedurilor instituționale de wellbeing.</w:t>
              <w:br/>
              <w:t xml:space="preserve">-respectă etica academică și standarde instituționale (echitate, transparență, confidențialitate, nediscriminare) în evaluare, feedback, evidențe și comunicare.</w:t>
              <w:br/>
              <w:t xml:space="preserve">-justifică alegeri pedagogice și de evaluare folosind dovezi din psihologia educației și argumentare reflexivă în contexte de responsabilizare în departamente, comisii de program și acreditare.</w:t>
              <w:br/>
              <w:t xml:space="preserve">-reflectează critic asupra prejudecăților, stereotipurilor și dinamicilor de putere în contexte de predare de nivel superior în participare echitabilă, mentorat și practici de evaluare.</w:t>
              <w:br/>
              <w:t xml:space="preserve">-gestionează autonom responsabilitățile unui curs (planificare, predare, cicluri de evaluare) respectând constrângeri instituționale în desfășurarea cursurilor pe durata semestrului, în modalități diverse.</w:t>
              <w:br/>
              <w:t xml:space="preserve">-se menține la zi cu cercetare, reglementări și schimbări de politici privind integritatea/AI în învățământul superior prin practică informată de dovezi și conformitate cu politicile.</w:t>
              <w:br/>
              <w:t xml:space="preserve">-comunică responsabil cu studenți și colegi folosind limbaj profesionist, respectuos și orientat spre feedback în întâlniri de supervizare, dispute de notare și consiliere academică.</w:t>
              <w:br/>
              <w:t xml:space="preserve">-protejează integritatea prin aplicarea consecventă a procedurilor și răspunsuri educative la conduită incorectă în situații de plagiat/AI, contestații și documentare.</w:t>
            </w:r>
            <w:bookmarkEnd w:id="49"/>
          </w:p>
        </w:tc>
      </w:tr>
    </w:tbl>
    <w:p>
      <w:pPr>
        <w:pStyle w:val="Normal"/>
        <w:spacing w:lineRule="auto" w:line="276"/>
        <w:rPr>
          <w:rFonts w:ascii="Aptos" w:hAnsi="Aptos" w:cs="Calibri" w:cstheme="minorHAnsi"/>
          <w:sz w:val="21"/>
          <w:szCs w:val="21"/>
          <w:lang w:val="ro-RO"/>
        </w:rPr>
      </w:pPr>
      <w:r>
        <w:rPr>
          <w:rFonts w:cs="Calibri" w:cstheme="minorHAnsi" w:ascii="Aptos" w:hAnsi="Aptos"/>
          <w:sz w:val="21"/>
          <w:szCs w:val="21"/>
          <w:lang w:val="ro-RO"/>
        </w:rPr>
      </w:r>
      <w:bookmarkStart w:id="50" w:name="_Hlk215646569"/>
      <w:bookmarkStart w:id="51" w:name="_Hlk215646569"/>
      <w:bookmarkEnd w:id="51"/>
    </w:p>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8. Obiectivele disciplinei (reiesind din grila competentelor specifice acumulate)</w:t>
      </w:r>
    </w:p>
    <w:tbl>
      <w:tblPr>
        <w:tblW w:w="5000" w:type="pct"/>
        <w:jc w:val="left"/>
        <w:tblInd w:w="0" w:type="dxa"/>
        <w:tblLayout w:type="fixed"/>
        <w:tblCellMar>
          <w:top w:w="0" w:type="dxa"/>
          <w:left w:w="40" w:type="dxa"/>
          <w:bottom w:w="0" w:type="dxa"/>
          <w:right w:w="40" w:type="dxa"/>
        </w:tblCellMar>
        <w:tblLook w:val="0000" w:noHBand="0" w:noVBand="0" w:firstColumn="0" w:lastRow="0" w:lastColumn="0" w:firstRow="0"/>
      </w:tblPr>
      <w:tblGrid>
        <w:gridCol w:w="2729"/>
        <w:gridCol w:w="6908"/>
      </w:tblGrid>
      <w:tr>
        <w:trPr>
          <w:trHeight w:val="321" w:hRule="atLeast"/>
        </w:trPr>
        <w:tc>
          <w:tcPr>
            <w:tcW w:w="27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8.1. Obiectivul general al discipline</w:t>
            </w:r>
          </w:p>
        </w:tc>
        <w:tc>
          <w:tcPr>
            <w:tcW w:w="6908"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bookmarkStart w:id="52" w:name="bkm_71_obj_gen"/>
            <w:r>
              <w:rPr>
                <w:rFonts w:cs="Calibri" w:ascii="Aptos" w:hAnsi="Aptos" w:cstheme="minorHAnsi"/>
                <w:sz w:val="21"/>
                <w:szCs w:val="21"/>
                <w:lang w:val="ro-RO"/>
              </w:rPr>
              <w:t xml:space="preserve">Obiectivul general al acestei discipline este acela ca studentul sa dezvolte un bagaj de cunostinte si competente suficient de bogat si ridicat calitativ incat sa poata folosi notiunile fundamentale de Psihologie a Educatiei in cariera didactica la nivelul II al formarii psihopedagogice. </w:t>
              <w:br/>
              <w:t xml:space="preserve">Acest obiectiv se atinge prin: dezvoltarea de competențe complexe de identificare, proiectare, inițiere, menținere și optimizare a unor intervenții educaționale, pe baza principiilor și cunoștințelor psihologice fundamentale, la nivel propriu, individual, și la nivelul altora, adaptate nivelului de dezvoltare al instruiților.</w:t>
            </w:r>
            <w:bookmarkEnd w:id="52"/>
          </w:p>
        </w:tc>
      </w:tr>
      <w:tr>
        <w:trPr>
          <w:trHeight w:val="660" w:hRule="atLeast"/>
        </w:trPr>
        <w:tc>
          <w:tcPr>
            <w:tcW w:w="27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8.2. Obiectivele specifice</w:t>
            </w:r>
          </w:p>
        </w:tc>
        <w:tc>
          <w:tcPr>
            <w:tcW w:w="6908"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bookmarkStart w:id="53" w:name="bkm_72_obj_spec"/>
            <w:r>
              <w:rPr>
                <w:rFonts w:cs="Calibri" w:ascii="Aptos" w:hAnsi="Aptos" w:cstheme="minorHAnsi"/>
                <w:sz w:val="21"/>
                <w:szCs w:val="21"/>
                <w:lang w:val="ro-RO"/>
              </w:rPr>
              <w:t xml:space="preserve">Obiectivele specifice sunt: </w:t>
              <w:br/>
              <w:t xml:space="preserve">- Sa poata identifica elementele functionale si structurale ale sistemului cognitiv uman care sunt relevante pentru invatare. </w:t>
              <w:br/>
              <w:t xml:space="preserve">- Sa poata colabora cu alti specialisti si persoane calificate in stiintele educatiei  (e.g. cadre didactice) si in psihologie (e.g., consilieri si psihologi scolari) pentru integrarea disciplinei predate in curriculumul oficial. </w:t>
              <w:br/>
              <w:t xml:space="preserve">- Sa poata sa isi proiecteze si sa isi ghideze activitatea profesionala intr-o maniera informata de principiile stiintifice ale predarii orientate stiintific (evidence-based teaching) si educatiei centrate pe student (student-centered learning). </w:t>
              <w:br/>
              <w:t xml:space="preserve"/>
              <w:br/>
              <w:t xml:space="preserve">Aceste obiective se ating prin: Asimilarea cunoștințelor și deprinderilor fundamentale, necesare funcționării independente și asigurării unui fundament de dezvoltare ulterioară în profesia didactică, în mod specific prin luarea în considerare a caracteristicilor de dezvoltare pentru a construi/proiecta, adapta sau optimiza programe de studiu sau a funcționa sub aspect didactic conform paradigmelor instruirii și învățării centrate pe elev/student și a învățământului personalizat.</w:t>
            </w:r>
            <w:bookmarkEnd w:id="53"/>
          </w:p>
        </w:tc>
      </w:tr>
    </w:tbl>
    <w:p>
      <w:pPr>
        <w:pStyle w:val="Normal"/>
        <w:shd w:val="clear" w:color="auto" w:fill="FFFFFF"/>
        <w:rPr>
          <w:rFonts w:ascii="Aptos" w:hAnsi="Aptos" w:cs="Calibri" w:cstheme="minorHAnsi"/>
          <w:b/>
          <w:bCs/>
          <w:sz w:val="21"/>
          <w:szCs w:val="21"/>
          <w:lang w:val="ro-RO"/>
        </w:rPr>
      </w:pPr>
      <w:r>
        <w:rPr>
          <w:rFonts w:cs="Calibri" w:cstheme="minorHAnsi" w:ascii="Aptos" w:hAnsi="Aptos"/>
          <w:b/>
          <w:bCs/>
          <w:sz w:val="21"/>
          <w:szCs w:val="21"/>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9. Conţinuturi</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5534"/>
        <w:gridCol w:w="776"/>
        <w:gridCol w:w="1899"/>
        <w:gridCol w:w="1428"/>
      </w:tblGrid>
      <w:tr>
        <w:trPr/>
        <w:tc>
          <w:tcPr>
            <w:tcW w:w="5534" w:type="dxa"/>
            <w:tcBorders>
              <w:top w:val="single" w:sz="4" w:space="0" w:color="000000"/>
              <w:left w:val="single" w:sz="4" w:space="0" w:color="000000"/>
              <w:bottom w:val="single" w:sz="4" w:space="0" w:color="000000"/>
              <w:right w:val="single" w:sz="4" w:space="0" w:color="000000"/>
            </w:tcBorders>
            <w:shd w:color="auto" w:fill="E0E0E0" w:val="clear"/>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9.1 Curs</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Nr. ore</w:t>
            </w:r>
          </w:p>
        </w:tc>
        <w:tc>
          <w:tcPr>
            <w:tcW w:w="1899"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Metode de predare</w:t>
            </w:r>
          </w:p>
        </w:tc>
        <w:tc>
          <w:tcPr>
            <w:tcW w:w="1428"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ascii="Aptos" w:hAnsi="Aptos" w:cstheme="minorHAnsi"/>
                <w:sz w:val="21"/>
                <w:szCs w:val="21"/>
                <w:lang w:val="ro-RO"/>
              </w:rPr>
              <w:t>Observaţii</w:t>
            </w:r>
          </w:p>
        </w:tc>
      </w:tr>
      <w:tr>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54" w:name="bkm_81_contents_c_1"/>
            <w:r>
              <w:rPr>
                <w:rFonts w:cs="Calibri" w:ascii="Aptos" w:hAnsi="Aptos" w:cstheme="minorHAnsi"/>
                <w:sz w:val="21"/>
                <w:szCs w:val="21"/>
                <w:lang w:val="ro-RO"/>
              </w:rPr>
              <w:t>Gandirea si procesele cognitive: gandire critica si argumentatie stiintifica.</w:t>
            </w:r>
            <w:bookmarkEnd w:id="54"/>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55" w:name="bkm_81_hrs_c_1"/>
            <w:r>
              <w:rPr>
                <w:rFonts w:cs="Calibri" w:ascii="Aptos" w:hAnsi="Aptos" w:cstheme="minorHAnsi"/>
                <w:sz w:val="21"/>
                <w:szCs w:val="21"/>
                <w:lang w:val="ro-RO"/>
              </w:rPr>
              <w:t>2</w:t>
            </w:r>
            <w:bookmarkEnd w:id="55"/>
          </w:p>
        </w:tc>
        <w:tc>
          <w:tcPr>
            <w:tcW w:w="1899" w:type="dxa"/>
            <w:vMerge w:val="restart"/>
            <w:tcBorders>
              <w:top w:val="single" w:sz="4" w:space="0" w:color="000000"/>
              <w:left w:val="single" w:sz="4" w:space="0" w:color="000000"/>
              <w:bottom w:val="single" w:sz="4" w:space="0" w:color="000000"/>
              <w:right w:val="single" w:sz="4" w:space="0" w:color="000000"/>
            </w:tcBorders>
          </w:tcPr>
          <w:p>
            <w:pPr>
              <w:pStyle w:val="Normal"/>
              <w:rPr>
                <w:rFonts w:ascii="Aptos" w:hAnsi="Aptos" w:cs="Calibri" w:cstheme="minorHAnsi"/>
                <w:sz w:val="21"/>
                <w:szCs w:val="21"/>
                <w:lang w:val="ro-RO"/>
              </w:rPr>
            </w:pPr>
            <w:bookmarkStart w:id="56" w:name="bkm_81_methods_c"/>
            <w:r>
              <w:rPr>
                <w:rFonts w:cs="Calibri" w:ascii="Aptos" w:hAnsi="Aptos" w:cstheme="minorHAnsi"/>
                <w:sz w:val="21"/>
                <w:szCs w:val="21"/>
                <w:lang w:val="ro-RO"/>
              </w:rPr>
              <w:t xml:space="preserve">Curs interactiv:</w:t>
              <w:br/>
              <w:t xml:space="preserve">expunerea;</w:t>
              <w:br/>
              <w:t xml:space="preserve">prelegerea intensificată;</w:t>
              <w:br/>
              <w:t xml:space="preserve">explicația;</w:t>
              <w:br/>
              <w:t xml:space="preserve">conversația euristică;</w:t>
              <w:br/>
              <w:t xml:space="preserve">problematizarea;</w:t>
              <w:br/>
              <w:t xml:space="preserve">dezbaterea;</w:t>
              <w:br/>
              <w:t xml:space="preserve">studiu de caz;</w:t>
              <w:br/>
              <w:t xml:space="preserve">jocul de rol.</w:t>
            </w:r>
            <w:bookmarkEnd w:id="56"/>
          </w:p>
        </w:tc>
        <w:tc>
          <w:tcPr>
            <w:tcW w:w="142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ptos" w:hAnsi="Aptos" w:cs="Calibri" w:cstheme="minorHAnsi"/>
                <w:sz w:val="21"/>
                <w:szCs w:val="21"/>
                <w:lang w:val="ro-RO"/>
              </w:rPr>
            </w:pPr>
            <w:bookmarkStart w:id="57" w:name="bkm_81_notes_c"/>
            <w:r>
              <w:rPr>
                <w:rFonts w:cs="Calibri" w:ascii="Aptos" w:hAnsi="Aptos" w:cstheme="minorHAnsi"/>
                <w:sz w:val="21"/>
                <w:szCs w:val="21"/>
                <w:lang w:val="ro-RO"/>
              </w:rPr>
              <w:t>-</w:t>
            </w:r>
            <w:bookmarkStart w:id="58" w:name="_Hlk113959709"/>
            <w:bookmarkEnd w:id="57"/>
            <w:bookmarkEnd w:id="58"/>
          </w:p>
        </w:tc>
      </w:tr>
      <w:tr>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59" w:name="bkm_81_contents_c_2"/>
            <w:r>
              <w:rPr>
                <w:rFonts w:cs="Calibri" w:ascii="Aptos" w:hAnsi="Aptos" w:cstheme="minorHAnsi"/>
                <w:sz w:val="21"/>
                <w:szCs w:val="21"/>
                <w:lang w:val="ro-RO"/>
              </w:rPr>
              <w:t>Gandirea si procesele cognitive: biasari cognitive, erori logice si distorsiuni de gandire.</w:t>
            </w:r>
            <w:bookmarkEnd w:id="59"/>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60" w:name="bkm_81_hrs_c_2"/>
            <w:r>
              <w:rPr>
                <w:rFonts w:cs="Calibri" w:ascii="Aptos" w:hAnsi="Aptos" w:cstheme="minorHAnsi"/>
                <w:sz w:val="21"/>
                <w:szCs w:val="21"/>
                <w:lang w:val="ro-RO"/>
              </w:rPr>
              <w:t>2</w:t>
            </w:r>
            <w:bookmarkEnd w:id="60"/>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61" w:name="bkm_81_contents_c_3"/>
            <w:r>
              <w:rPr>
                <w:rFonts w:cs="Calibri" w:ascii="Aptos" w:hAnsi="Aptos" w:cstheme="minorHAnsi"/>
                <w:sz w:val="21"/>
                <w:szCs w:val="21"/>
                <w:lang w:val="ro-RO"/>
              </w:rPr>
              <w:t>Sinele si Personalitatea: Sinele (concepte/constructe de sine: exemple de concepte si constructe de sine, sinele si credinte relationate relevante).</w:t>
            </w:r>
            <w:bookmarkEnd w:id="61"/>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62" w:name="bkm_81_hrs_c_3"/>
            <w:r>
              <w:rPr>
                <w:rFonts w:cs="Calibri" w:ascii="Aptos" w:hAnsi="Aptos" w:cstheme="minorHAnsi"/>
                <w:sz w:val="21"/>
                <w:szCs w:val="21"/>
                <w:lang w:val="ro-RO"/>
              </w:rPr>
              <w:t>2</w:t>
            </w:r>
            <w:bookmarkEnd w:id="62"/>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5"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63" w:name="bkm_81_contents_c_4"/>
            <w:r>
              <w:rPr>
                <w:rFonts w:cs="Calibri" w:ascii="Aptos" w:hAnsi="Aptos" w:cstheme="minorHAnsi"/>
                <w:sz w:val="21"/>
                <w:szCs w:val="21"/>
                <w:lang w:val="ro-RO"/>
              </w:rPr>
              <w:t>Sinele si Personalitatea: Personalitatea (Big 5/OCEAN, MBTI).</w:t>
            </w:r>
            <w:bookmarkEnd w:id="63"/>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64" w:name="bkm_81_hrs_c_4"/>
            <w:r>
              <w:rPr>
                <w:rFonts w:cs="Calibri" w:ascii="Aptos" w:hAnsi="Aptos" w:cstheme="minorHAnsi"/>
                <w:sz w:val="21"/>
                <w:szCs w:val="21"/>
                <w:lang w:val="ro-RO"/>
              </w:rPr>
              <w:t>2</w:t>
            </w:r>
            <w:bookmarkEnd w:id="64"/>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65" w:name="bkm_81_contents_c_5"/>
            <w:r>
              <w:rPr>
                <w:rFonts w:cs="Calibri" w:ascii="Aptos" w:hAnsi="Aptos" w:cstheme="minorHAnsi"/>
                <w:sz w:val="21"/>
                <w:szCs w:val="21"/>
                <w:lang w:val="ro-RO"/>
              </w:rPr>
              <w:t>Dezvoltarea. Teorii fundamentale privind dezvoltare din perspectiva socio-cognitiva (t. Piaget, t. Vygotsky).</w:t>
            </w:r>
            <w:bookmarkEnd w:id="65"/>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66" w:name="bkm_81_hrs_c_5"/>
            <w:r>
              <w:rPr>
                <w:rFonts w:cs="Calibri" w:ascii="Aptos" w:hAnsi="Aptos" w:cstheme="minorHAnsi"/>
                <w:sz w:val="21"/>
                <w:szCs w:val="21"/>
                <w:lang w:val="ro-RO"/>
              </w:rPr>
              <w:t>2</w:t>
            </w:r>
            <w:bookmarkEnd w:id="66"/>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67" w:name="bkm_81_contents_c_6"/>
            <w:r>
              <w:rPr>
                <w:rFonts w:cs="Calibri" w:ascii="Aptos" w:hAnsi="Aptos" w:cstheme="minorHAnsi"/>
                <w:sz w:val="21"/>
                <w:szCs w:val="21"/>
                <w:lang w:val="ro-RO"/>
              </w:rPr>
              <w:t>Dezvoltarea umana: teorii fundamentale privind dezvoltarea  din perspectiva sociala si morala (t. Kohlberg, t. Erickson).</w:t>
            </w:r>
            <w:bookmarkEnd w:id="67"/>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68" w:name="bkm_81_hrs_c_6"/>
            <w:r>
              <w:rPr>
                <w:rFonts w:cs="Calibri" w:ascii="Aptos" w:hAnsi="Aptos" w:cstheme="minorHAnsi"/>
                <w:sz w:val="21"/>
                <w:szCs w:val="21"/>
                <w:lang w:val="ro-RO"/>
              </w:rPr>
              <w:t>2</w:t>
            </w:r>
            <w:bookmarkEnd w:id="68"/>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69" w:name="bkm_81_contents_c_7"/>
            <w:r>
              <w:rPr>
                <w:rFonts w:cs="Calibri" w:ascii="Aptos" w:hAnsi="Aptos" w:cstheme="minorHAnsi"/>
                <w:sz w:val="21"/>
                <w:szCs w:val="21"/>
                <w:lang w:val="ro-RO"/>
              </w:rPr>
              <w:t>Dezvoltari psihomorale avansate: autoreglare si autodeterminare si autoactualizare (Maslow; Deci &amp; Ryan).</w:t>
            </w:r>
            <w:bookmarkEnd w:id="69"/>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70" w:name="bkm_81_hrs_c_7"/>
            <w:r>
              <w:rPr>
                <w:rFonts w:cs="Calibri" w:ascii="Aptos" w:hAnsi="Aptos" w:cstheme="minorHAnsi"/>
                <w:sz w:val="21"/>
                <w:szCs w:val="21"/>
                <w:lang w:val="ro-RO"/>
              </w:rPr>
              <w:t>2</w:t>
            </w:r>
            <w:bookmarkEnd w:id="70"/>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71" w:name="bkm_81_contents_c_8"/>
            <w:r>
              <w:rPr>
                <w:rFonts w:cs="Calibri" w:ascii="Aptos" w:hAnsi="Aptos" w:cstheme="minorHAnsi"/>
                <w:sz w:val="21"/>
                <w:szCs w:val="21"/>
                <w:lang w:val="ro-RO"/>
              </w:rPr>
              <w:t>Lifelong learning si invatarea la tineri vs adulti (repere: taxonomia lui Bloom; andragogia; aspecte ale sinelului in imbatranire).</w:t>
            </w:r>
            <w:bookmarkEnd w:id="71"/>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72" w:name="bkm_81_hrs_c_8"/>
            <w:r>
              <w:rPr>
                <w:rFonts w:cs="Calibri" w:ascii="Aptos" w:hAnsi="Aptos" w:cstheme="minorHAnsi"/>
                <w:sz w:val="21"/>
                <w:szCs w:val="21"/>
                <w:lang w:val="ro-RO"/>
              </w:rPr>
              <w:t>2</w:t>
            </w:r>
            <w:bookmarkEnd w:id="72"/>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73" w:name="bkm_81_contents_c_9"/>
            <w:r>
              <w:rPr>
                <w:rFonts w:cs="Calibri" w:ascii="Aptos" w:hAnsi="Aptos" w:cstheme="minorHAnsi"/>
                <w:sz w:val="21"/>
                <w:szCs w:val="21"/>
                <w:lang w:val="ro-RO"/>
              </w:rPr>
              <w:t>Lifelong learning si invatarea la tineri vs adulti (perspectiva conectivista si modelul TPACK).</w:t>
            </w:r>
            <w:bookmarkEnd w:id="73"/>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74" w:name="bkm_81_hrs_c_9"/>
            <w:r>
              <w:rPr>
                <w:rFonts w:cs="Calibri" w:ascii="Aptos" w:hAnsi="Aptos" w:cstheme="minorHAnsi"/>
                <w:sz w:val="21"/>
                <w:szCs w:val="21"/>
                <w:lang w:val="ro-RO"/>
              </w:rPr>
              <w:t>4</w:t>
            </w:r>
            <w:bookmarkEnd w:id="74"/>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75" w:name="bkm_81_contents_c_10"/>
            <w:r>
              <w:rPr>
                <w:rFonts w:cs="Calibri" w:ascii="Aptos" w:hAnsi="Aptos" w:cstheme="minorHAnsi"/>
                <w:sz w:val="21"/>
                <w:szCs w:val="21"/>
                <w:lang w:val="ro-RO"/>
              </w:rPr>
              <w:t>Metode si instrumente de cunoastere stiintifica (obiectiva, riguroasa, valida) a personalitatii si altor dimensiuni cognitiv-comportamentale (interviu, focus-group, chestionare, cercetare-actiune, cvasi-experiment).</w:t>
            </w:r>
            <w:bookmarkEnd w:id="75"/>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76" w:name="bkm_81_hrs_c_10"/>
            <w:r>
              <w:rPr>
                <w:rFonts w:cs="Calibri" w:ascii="Aptos" w:hAnsi="Aptos" w:cstheme="minorHAnsi"/>
                <w:sz w:val="21"/>
                <w:szCs w:val="21"/>
                <w:lang w:val="ro-RO"/>
              </w:rPr>
              <w:t>2</w:t>
            </w:r>
            <w:bookmarkEnd w:id="76"/>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77" w:name="bkm_81_contents_c_11"/>
            <w:r>
              <w:rPr>
                <w:rFonts w:cs="Calibri" w:ascii="Aptos" w:hAnsi="Aptos" w:cstheme="minorHAnsi"/>
                <w:sz w:val="21"/>
                <w:szCs w:val="21"/>
                <w:lang w:val="ro-RO"/>
              </w:rPr>
              <w:t>Individualizarea predarii (paradigma educatiei centrata pe elev/student). Stiluri de invatare si stiluri de predare (profesorale).</w:t>
            </w:r>
            <w:bookmarkEnd w:id="77"/>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78" w:name="bkm_81_hrs_c_11"/>
            <w:r>
              <w:rPr>
                <w:rFonts w:cs="Calibri" w:ascii="Aptos" w:hAnsi="Aptos" w:cstheme="minorHAnsi"/>
                <w:sz w:val="21"/>
                <w:szCs w:val="21"/>
                <w:lang w:val="ro-RO"/>
              </w:rPr>
              <w:t>4</w:t>
            </w:r>
            <w:bookmarkEnd w:id="78"/>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79" w:name="bkm_81_contents_c_12"/>
            <w:r>
              <w:rPr>
                <w:rFonts w:cs="Calibri" w:ascii="Aptos" w:hAnsi="Aptos" w:cstheme="minorHAnsi"/>
                <w:sz w:val="21"/>
                <w:szCs w:val="21"/>
                <w:lang w:val="ro-RO"/>
              </w:rPr>
              <w:t>Recapitulare si pregatire examinare</w:t>
            </w:r>
            <w:bookmarkEnd w:id="79"/>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80" w:name="bkm_81_hrs_c_12"/>
            <w:r>
              <w:rPr>
                <w:rFonts w:cs="Calibri" w:ascii="Aptos" w:hAnsi="Aptos" w:cstheme="minorHAnsi"/>
                <w:sz w:val="21"/>
                <w:szCs w:val="21"/>
                <w:lang w:val="ro-RO"/>
              </w:rPr>
              <w:t>2</w:t>
            </w:r>
            <w:bookmarkEnd w:id="80"/>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81" w:name="bkm_81_contents_c_13"/>
            <w:r>
              <w:rPr>
                <w:rFonts w:cs="Calibri" w:ascii="Aptos" w:hAnsi="Aptos" w:cstheme="minorHAnsi"/>
                <w:sz w:val="21"/>
                <w:szCs w:val="21"/>
                <w:lang w:val="ro-RO"/>
              </w:rPr>
              <w:t>-</w:t>
            </w:r>
            <w:bookmarkEnd w:id="81"/>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82" w:name="bkm_81_hrs_c_13"/>
            <w:r>
              <w:rPr>
                <w:rFonts w:cs="Calibri" w:ascii="Aptos" w:hAnsi="Aptos" w:cstheme="minorHAnsi"/>
                <w:sz w:val="21"/>
                <w:szCs w:val="21"/>
                <w:lang w:val="ro-RO"/>
              </w:rPr>
              <w:t>-</w:t>
            </w:r>
            <w:bookmarkEnd w:id="82"/>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83" w:name="bkm_81_contents_c_14"/>
            <w:r>
              <w:rPr>
                <w:rFonts w:cs="Calibri" w:ascii="Aptos" w:hAnsi="Aptos" w:cstheme="minorHAnsi"/>
                <w:sz w:val="21"/>
                <w:szCs w:val="21"/>
                <w:lang w:val="ro-RO"/>
              </w:rPr>
              <w:t>-</w:t>
            </w:r>
            <w:bookmarkEnd w:id="83"/>
          </w:p>
        </w:tc>
        <w:tc>
          <w:tcPr>
            <w:tcW w:w="776" w:type="dxa"/>
            <w:tcBorders>
              <w:top w:val="single" w:sz="4" w:space="0" w:color="000000"/>
              <w:left w:val="single" w:sz="4" w:space="0" w:color="000000"/>
              <w:bottom w:val="single" w:sz="4" w:space="0" w:color="000000"/>
              <w:right w:val="single" w:sz="4" w:space="0" w:color="000000"/>
            </w:tcBorders>
          </w:tcPr>
          <w:p>
            <w:pPr>
              <w:pStyle w:val="Normal"/>
              <w:jc w:val="center"/>
              <w:rPr>
                <w:rFonts w:ascii="Aptos" w:hAnsi="Aptos" w:cs="Calibri" w:cstheme="minorHAnsi"/>
                <w:sz w:val="21"/>
                <w:szCs w:val="21"/>
                <w:lang w:val="ro-RO"/>
              </w:rPr>
            </w:pPr>
            <w:bookmarkStart w:id="84" w:name="bkm_81_hrs_c_14"/>
            <w:r>
              <w:rPr>
                <w:rFonts w:cs="Calibri" w:ascii="Aptos" w:hAnsi="Aptos" w:cstheme="minorHAnsi"/>
                <w:sz w:val="21"/>
                <w:szCs w:val="21"/>
                <w:lang w:val="ro-RO"/>
              </w:rPr>
              <w:t>-</w:t>
            </w:r>
            <w:bookmarkEnd w:id="84"/>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b/>
                <w:bCs/>
                <w:sz w:val="21"/>
                <w:szCs w:val="21"/>
                <w:lang w:val="ro-RO"/>
              </w:rPr>
            </w:pPr>
            <w:r>
              <w:rPr>
                <w:rFonts w:cs="Calibri" w:cstheme="minorHAnsi" w:ascii="Aptos" w:hAnsi="Aptos"/>
                <w:b/>
                <w:bCs/>
                <w:sz w:val="21"/>
                <w:szCs w:val="21"/>
                <w:lang w:val="ro-RO"/>
              </w:rPr>
            </w:r>
            <w:bookmarkStart w:id="85" w:name="_Hlk119585066"/>
            <w:bookmarkStart w:id="86" w:name="_Hlk119585066"/>
            <w:bookmarkEnd w:id="86"/>
          </w:p>
        </w:tc>
      </w:tr>
      <w:tr>
        <w:trPr/>
        <w:tc>
          <w:tcPr>
            <w:tcW w:w="9637" w:type="dxa"/>
            <w:gridSpan w:val="4"/>
            <w:tcBorders>
              <w:top w:val="single" w:sz="4" w:space="0" w:color="000000"/>
              <w:left w:val="single" w:sz="4" w:space="0" w:color="000000"/>
              <w:bottom w:val="single" w:sz="4" w:space="0" w:color="000000"/>
              <w:right w:val="single" w:sz="4" w:space="0" w:color="000000"/>
            </w:tcBorders>
            <w:shd w:color="auto" w:fill="E0E0E0" w:val="clear"/>
            <w:vAlign w:val="center"/>
          </w:tcPr>
          <w:p>
            <w:pPr>
              <w:pStyle w:val="Normal"/>
              <w:spacing w:lineRule="auto" w:line="288"/>
              <w:rPr>
                <w:rFonts w:ascii="Aptos" w:hAnsi="Aptos" w:cs="Calibri" w:cstheme="minorHAnsi"/>
                <w:sz w:val="21"/>
                <w:szCs w:val="21"/>
                <w:lang w:val="ro-RO"/>
              </w:rPr>
            </w:pPr>
            <w:r>
              <w:rPr>
                <w:rFonts w:cs="Calibri" w:ascii="Aptos" w:hAnsi="Aptos" w:cstheme="minorHAnsi"/>
                <w:sz w:val="21"/>
                <w:szCs w:val="21"/>
                <w:lang w:val="ro-RO"/>
              </w:rPr>
              <w:t xml:space="preserve">Bibliografie curs: </w:t>
            </w:r>
          </w:p>
          <w:p w14:paraId="533866A1" w14:textId="77777777" w:rsidR="00900FEC" w:rsidRPr="00D51F70" w:rsidRDefault="00900FEC" w:rsidP="00900FEC">
            <w:pPr>
              <w:pStyle w:val="EndNoteBibliography"/>
              <w:spacing w:after="0"/>
              <w:ind w:left="720" w:hanging="720"/>
              <w:rPr>
                <w:rFonts w:ascii="Aptos" w:hAnsi="Aptos" w:cs="Calibri"/>
                <w:sz w:val="21"/>
                <w:szCs w:val="21"/>
              </w:rPr>
            </w:pPr>
            <w:bookmarkStart w:id="0" w:name="_ENREF_1"/>
            <w:bookmarkStart w:id="1" w:name="OLE_LINK1"/>
            <w:bookmarkStart w:id="2" w:name="OLE_LINK2"/>
            <w:bookmarkStart w:id="3" w:name="OLE_LINK6"/>
            <w:r w:rsidRPr="00D51F70">
              <w:rPr>
                <w:rFonts w:ascii="Aptos" w:hAnsi="Aptos" w:cs="Calibri"/>
                <w:sz w:val="21"/>
                <w:szCs w:val="21"/>
              </w:rPr>
              <w:t xml:space="preserve">Apperly, I. (2010). </w:t>
            </w:r>
            <w:r w:rsidRPr="00D51F70">
              <w:rPr>
                <w:rFonts w:ascii="Aptos" w:hAnsi="Aptos" w:cs="Calibri"/>
                <w:i/>
                <w:sz w:val="21"/>
                <w:szCs w:val="21"/>
              </w:rPr>
              <w:t>Mindreaders: the cognitive basis of "theory of mind"</w:t>
            </w:r>
            <w:r w:rsidRPr="00D51F70">
              <w:rPr>
                <w:rFonts w:ascii="Aptos" w:hAnsi="Aptos" w:cs="Calibri"/>
                <w:sz w:val="21"/>
                <w:szCs w:val="21"/>
              </w:rPr>
              <w:t>: Psychology Press.</w:t>
            </w:r>
            <w:bookmarkEnd w:id="0"/>
          </w:p>
          <w:p w14:paraId="35C61F7C" w14:textId="77777777" w:rsidR="00900FEC" w:rsidRPr="00D51F70" w:rsidRDefault="00900FEC" w:rsidP="00900FEC">
            <w:pPr>
              <w:pStyle w:val="EndNoteBibliography"/>
              <w:spacing w:after="0"/>
              <w:ind w:left="720" w:hanging="720"/>
              <w:rPr>
                <w:rFonts w:ascii="Aptos" w:hAnsi="Aptos" w:cs="Calibri"/>
                <w:sz w:val="21"/>
                <w:szCs w:val="21"/>
              </w:rPr>
            </w:pPr>
            <w:bookmarkStart w:id="4" w:name="_ENREF_2"/>
            <w:r w:rsidRPr="00D51F70">
              <w:rPr>
                <w:rFonts w:ascii="Aptos" w:hAnsi="Aptos" w:cs="Calibri"/>
                <w:sz w:val="21"/>
                <w:szCs w:val="21"/>
              </w:rPr>
              <w:t xml:space="preserve">Berk, L. E. (2009). </w:t>
            </w:r>
            <w:r w:rsidRPr="00D51F70">
              <w:rPr>
                <w:rFonts w:ascii="Aptos" w:hAnsi="Aptos" w:cs="Calibri"/>
                <w:i/>
                <w:sz w:val="21"/>
                <w:szCs w:val="21"/>
              </w:rPr>
              <w:t>Child Development</w:t>
            </w:r>
            <w:r w:rsidRPr="00D51F70">
              <w:rPr>
                <w:rFonts w:ascii="Aptos" w:hAnsi="Aptos" w:cs="Calibri"/>
                <w:sz w:val="21"/>
                <w:szCs w:val="21"/>
              </w:rPr>
              <w:t>: Pearson Education/Allyn &amp; Bacon.</w:t>
            </w:r>
            <w:bookmarkEnd w:id="4"/>
          </w:p>
          <w:p w14:paraId="0CB2969E" w14:textId="77777777" w:rsidR="00900FEC" w:rsidRPr="00D51F70" w:rsidRDefault="00900FEC" w:rsidP="00900FEC">
            <w:pPr>
              <w:pStyle w:val="EndNoteBibliography"/>
              <w:spacing w:after="0"/>
              <w:ind w:left="720" w:hanging="720"/>
              <w:rPr>
                <w:rFonts w:ascii="Aptos" w:hAnsi="Aptos" w:cs="Calibri"/>
                <w:sz w:val="21"/>
                <w:szCs w:val="21"/>
              </w:rPr>
            </w:pPr>
            <w:bookmarkStart w:id="5" w:name="_ENREF_3"/>
            <w:r w:rsidRPr="00D51F70">
              <w:rPr>
                <w:rFonts w:ascii="Aptos" w:hAnsi="Aptos" w:cs="Calibri"/>
                <w:sz w:val="21"/>
                <w:szCs w:val="21"/>
              </w:rPr>
              <w:t xml:space="preserve">Bjorklund, D., &amp; Blasi, C. H. (2011). </w:t>
            </w:r>
            <w:r w:rsidRPr="00D51F70">
              <w:rPr>
                <w:rFonts w:ascii="Aptos" w:hAnsi="Aptos" w:cs="Calibri"/>
                <w:i/>
                <w:sz w:val="21"/>
                <w:szCs w:val="21"/>
              </w:rPr>
              <w:t>Child and adolescent development: An integrated approach</w:t>
            </w:r>
            <w:r w:rsidRPr="00D51F70">
              <w:rPr>
                <w:rFonts w:ascii="Aptos" w:hAnsi="Aptos" w:cs="Calibri"/>
                <w:sz w:val="21"/>
                <w:szCs w:val="21"/>
              </w:rPr>
              <w:t>: Cengage Learning.</w:t>
            </w:r>
            <w:bookmarkEnd w:id="5"/>
          </w:p>
          <w:p w14:paraId="3A48D236" w14:textId="77777777" w:rsidR="00900FEC" w:rsidRPr="00D51F70" w:rsidRDefault="00900FEC" w:rsidP="00900FEC">
            <w:pPr>
              <w:pStyle w:val="EndNoteBibliography"/>
              <w:spacing w:after="0"/>
              <w:ind w:left="720" w:hanging="720"/>
              <w:rPr>
                <w:rFonts w:ascii="Aptos" w:hAnsi="Aptos" w:cs="Calibri"/>
                <w:sz w:val="21"/>
                <w:szCs w:val="21"/>
              </w:rPr>
            </w:pPr>
            <w:bookmarkStart w:id="6" w:name="_ENREF_4"/>
            <w:r w:rsidRPr="00D51F70">
              <w:rPr>
                <w:rFonts w:ascii="Aptos" w:hAnsi="Aptos" w:cs="Calibri"/>
                <w:sz w:val="21"/>
                <w:szCs w:val="21"/>
              </w:rPr>
              <w:t xml:space="preserve">Brown, E., Mountstephen, M., Olechowska, A., Pheloung, B., &amp; Smith, L. (2011). </w:t>
            </w:r>
            <w:r w:rsidRPr="00D51F70">
              <w:rPr>
                <w:rFonts w:ascii="Aptos" w:hAnsi="Aptos" w:cs="Calibri"/>
                <w:i/>
                <w:sz w:val="21"/>
                <w:szCs w:val="21"/>
              </w:rPr>
              <w:t>How to Detect Developmental Delay and What to Do Next: Practical Interventions for Home and School</w:t>
            </w:r>
            <w:r w:rsidRPr="00D51F70">
              <w:rPr>
                <w:rFonts w:ascii="Aptos" w:hAnsi="Aptos" w:cs="Calibri"/>
                <w:sz w:val="21"/>
                <w:szCs w:val="21"/>
              </w:rPr>
              <w:t>: Jessica Kingsley Publishers.</w:t>
            </w:r>
            <w:bookmarkEnd w:id="6"/>
          </w:p>
          <w:p w14:paraId="16B53EE8" w14:textId="77777777" w:rsidR="00900FEC" w:rsidRPr="00D51F70" w:rsidRDefault="00900FEC" w:rsidP="00900FEC">
            <w:pPr>
              <w:pStyle w:val="EndNoteBibliography"/>
              <w:spacing w:after="0"/>
              <w:ind w:left="720" w:hanging="720"/>
              <w:rPr>
                <w:rFonts w:ascii="Aptos" w:hAnsi="Aptos" w:cs="Calibri"/>
                <w:sz w:val="21"/>
                <w:szCs w:val="21"/>
              </w:rPr>
            </w:pPr>
            <w:bookmarkStart w:id="7" w:name="_ENREF_5"/>
            <w:r w:rsidRPr="00D51F70">
              <w:rPr>
                <w:rFonts w:ascii="Aptos" w:hAnsi="Aptos" w:cs="Calibri"/>
                <w:sz w:val="21"/>
                <w:szCs w:val="21"/>
              </w:rPr>
              <w:t xml:space="preserve">Bukatko, D., &amp; Daehler, M. W. (2004). </w:t>
            </w:r>
            <w:r w:rsidRPr="00D51F70">
              <w:rPr>
                <w:rFonts w:ascii="Aptos" w:hAnsi="Aptos" w:cs="Calibri"/>
                <w:i/>
                <w:sz w:val="21"/>
                <w:szCs w:val="21"/>
              </w:rPr>
              <w:t>Child Development: A Thematic Approach</w:t>
            </w:r>
            <w:r w:rsidRPr="00D51F70">
              <w:rPr>
                <w:rFonts w:ascii="Aptos" w:hAnsi="Aptos" w:cs="Calibri"/>
                <w:sz w:val="21"/>
                <w:szCs w:val="21"/>
              </w:rPr>
              <w:t>: Houghton Mifflin.</w:t>
            </w:r>
            <w:bookmarkEnd w:id="7"/>
          </w:p>
          <w:p w14:paraId="423B033A" w14:textId="77777777" w:rsidR="00900FEC" w:rsidRPr="00D51F70" w:rsidRDefault="00900FEC" w:rsidP="00900FEC">
            <w:pPr>
              <w:pStyle w:val="EndNoteBibliography"/>
              <w:spacing w:after="0"/>
              <w:ind w:left="720" w:hanging="720"/>
              <w:rPr>
                <w:rFonts w:ascii="Aptos" w:hAnsi="Aptos" w:cs="Calibri"/>
                <w:sz w:val="21"/>
                <w:szCs w:val="21"/>
              </w:rPr>
            </w:pPr>
            <w:bookmarkStart w:id="8" w:name="_ENREF_6"/>
            <w:r w:rsidRPr="00D51F70">
              <w:rPr>
                <w:rFonts w:ascii="Aptos" w:hAnsi="Aptos" w:cs="Calibri"/>
                <w:sz w:val="21"/>
                <w:szCs w:val="21"/>
              </w:rPr>
              <w:t xml:space="preserve">Burman, E. (2007). </w:t>
            </w:r>
            <w:r w:rsidRPr="00D51F70">
              <w:rPr>
                <w:rFonts w:ascii="Aptos" w:hAnsi="Aptos" w:cs="Calibri"/>
                <w:i/>
                <w:sz w:val="21"/>
                <w:szCs w:val="21"/>
              </w:rPr>
              <w:t>Deconstructing Developmental Psychology</w:t>
            </w:r>
            <w:r w:rsidRPr="00D51F70">
              <w:rPr>
                <w:rFonts w:ascii="Aptos" w:hAnsi="Aptos" w:cs="Calibri"/>
                <w:sz w:val="21"/>
                <w:szCs w:val="21"/>
              </w:rPr>
              <w:t>: Taylor &amp; Francis.</w:t>
            </w:r>
            <w:bookmarkEnd w:id="8"/>
          </w:p>
          <w:p w14:paraId="6CF7A3B5" w14:textId="77777777" w:rsidR="00900FEC" w:rsidRPr="00D51F70" w:rsidRDefault="00900FEC" w:rsidP="00900FEC">
            <w:pPr>
              <w:pStyle w:val="EndNoteBibliography"/>
              <w:spacing w:after="0"/>
              <w:ind w:left="720" w:hanging="720"/>
              <w:rPr>
                <w:rFonts w:ascii="Aptos" w:hAnsi="Aptos" w:cs="Calibri"/>
                <w:sz w:val="21"/>
                <w:szCs w:val="21"/>
              </w:rPr>
            </w:pPr>
            <w:bookmarkStart w:id="9" w:name="_ENREF_7"/>
            <w:r w:rsidRPr="00D51F70">
              <w:rPr>
                <w:rFonts w:ascii="Aptos" w:hAnsi="Aptos" w:cs="Calibri"/>
                <w:sz w:val="21"/>
                <w:szCs w:val="21"/>
              </w:rPr>
              <w:t xml:space="preserve">Cavanaugh, J., &amp; Blanchard-Fields, F. (2005). </w:t>
            </w:r>
            <w:r w:rsidRPr="00D51F70">
              <w:rPr>
                <w:rFonts w:ascii="Aptos" w:hAnsi="Aptos" w:cs="Calibri"/>
                <w:i/>
                <w:sz w:val="21"/>
                <w:szCs w:val="21"/>
              </w:rPr>
              <w:t>Adult Development and Aging</w:t>
            </w:r>
            <w:r w:rsidRPr="00D51F70">
              <w:rPr>
                <w:rFonts w:ascii="Aptos" w:hAnsi="Aptos" w:cs="Calibri"/>
                <w:sz w:val="21"/>
                <w:szCs w:val="21"/>
              </w:rPr>
              <w:t>: Cengage Learning.</w:t>
            </w:r>
            <w:bookmarkEnd w:id="9"/>
          </w:p>
          <w:p w14:paraId="73503636" w14:textId="77777777" w:rsidR="00900FEC" w:rsidRPr="00D51F70" w:rsidRDefault="00900FEC" w:rsidP="00900FEC">
            <w:pPr>
              <w:pStyle w:val="EndNoteBibliography"/>
              <w:spacing w:after="0"/>
              <w:ind w:left="720" w:hanging="720"/>
              <w:rPr>
                <w:rFonts w:ascii="Aptos" w:hAnsi="Aptos" w:cs="Calibri"/>
                <w:sz w:val="21"/>
                <w:szCs w:val="21"/>
              </w:rPr>
            </w:pPr>
            <w:bookmarkStart w:id="10" w:name="_ENREF_8"/>
            <w:r w:rsidRPr="00D51F70">
              <w:rPr>
                <w:rFonts w:ascii="Aptos" w:hAnsi="Aptos" w:cs="Calibri"/>
                <w:sz w:val="21"/>
                <w:szCs w:val="21"/>
              </w:rPr>
              <w:t xml:space="preserve">Clark, C., &amp; Caffarella, R. S. (2011). </w:t>
            </w:r>
            <w:r w:rsidRPr="00D51F70">
              <w:rPr>
                <w:rFonts w:ascii="Aptos" w:hAnsi="Aptos" w:cs="Calibri"/>
                <w:i/>
                <w:sz w:val="21"/>
                <w:szCs w:val="21"/>
              </w:rPr>
              <w:t>An Update on Adult Development Theory: New Ways of Thinking About the Life Course: New Directions for Adult and Continuing Education, Number 84</w:t>
            </w:r>
            <w:r w:rsidRPr="00D51F70">
              <w:rPr>
                <w:rFonts w:ascii="Aptos" w:hAnsi="Aptos" w:cs="Calibri"/>
                <w:sz w:val="21"/>
                <w:szCs w:val="21"/>
              </w:rPr>
              <w:t>: Wiley.</w:t>
            </w:r>
            <w:bookmarkEnd w:id="10"/>
          </w:p>
          <w:p w14:paraId="673C9F57" w14:textId="77777777" w:rsidR="00900FEC" w:rsidRPr="00D51F70" w:rsidRDefault="00900FEC" w:rsidP="00900FEC">
            <w:pPr>
              <w:pStyle w:val="EndNoteBibliography"/>
              <w:spacing w:after="0"/>
              <w:ind w:left="720" w:hanging="720"/>
              <w:rPr>
                <w:rFonts w:ascii="Aptos" w:hAnsi="Aptos" w:cs="Calibri"/>
                <w:sz w:val="21"/>
                <w:szCs w:val="21"/>
              </w:rPr>
            </w:pPr>
            <w:bookmarkStart w:id="11" w:name="_ENREF_9"/>
            <w:r w:rsidRPr="00D51F70">
              <w:rPr>
                <w:rFonts w:ascii="Aptos" w:hAnsi="Aptos" w:cs="Calibri"/>
                <w:sz w:val="21"/>
                <w:szCs w:val="21"/>
              </w:rPr>
              <w:t xml:space="preserve">Coch, D., Fischer, K. W., &amp; Dawson, G. (2010). </w:t>
            </w:r>
            <w:r w:rsidRPr="00D51F70">
              <w:rPr>
                <w:rFonts w:ascii="Aptos" w:hAnsi="Aptos" w:cs="Calibri"/>
                <w:i/>
                <w:sz w:val="21"/>
                <w:szCs w:val="21"/>
              </w:rPr>
              <w:t>Human Behavior, Learning, and the Developing Brain: Typical Development</w:t>
            </w:r>
            <w:r w:rsidRPr="00D51F70">
              <w:rPr>
                <w:rFonts w:ascii="Aptos" w:hAnsi="Aptos" w:cs="Calibri"/>
                <w:sz w:val="21"/>
                <w:szCs w:val="21"/>
              </w:rPr>
              <w:t>: Guilford Publications.</w:t>
            </w:r>
            <w:bookmarkEnd w:id="11"/>
          </w:p>
          <w:p w14:paraId="1BB9B1D6" w14:textId="77777777" w:rsidR="00900FEC" w:rsidRPr="00D51F70" w:rsidRDefault="00900FEC" w:rsidP="00900FEC">
            <w:pPr>
              <w:pStyle w:val="EndNoteBibliography"/>
              <w:spacing w:after="0"/>
              <w:ind w:left="720" w:hanging="720"/>
              <w:rPr>
                <w:rFonts w:ascii="Aptos" w:hAnsi="Aptos" w:cs="Calibri"/>
                <w:sz w:val="21"/>
                <w:szCs w:val="21"/>
              </w:rPr>
            </w:pPr>
            <w:bookmarkStart w:id="12" w:name="_ENREF_10"/>
            <w:r w:rsidRPr="00D51F70">
              <w:rPr>
                <w:rFonts w:ascii="Aptos" w:hAnsi="Aptos" w:cs="Calibri"/>
                <w:sz w:val="21"/>
                <w:szCs w:val="21"/>
              </w:rPr>
              <w:t xml:space="preserve">Damon, W., &amp; Lerner, R. M. (2006). </w:t>
            </w:r>
            <w:r w:rsidRPr="00D51F70">
              <w:rPr>
                <w:rFonts w:ascii="Aptos" w:hAnsi="Aptos" w:cs="Calibri"/>
                <w:i/>
                <w:sz w:val="21"/>
                <w:szCs w:val="21"/>
              </w:rPr>
              <w:t>Handbook of Child Psychology Volume 1Theoretical Models of Human Development</w:t>
            </w:r>
            <w:r w:rsidRPr="00D51F70">
              <w:rPr>
                <w:rFonts w:ascii="Aptos" w:hAnsi="Aptos" w:cs="Calibri"/>
                <w:sz w:val="21"/>
                <w:szCs w:val="21"/>
              </w:rPr>
              <w:t xml:space="preserve"> (Vol. 1): Wiley.</w:t>
            </w:r>
            <w:bookmarkEnd w:id="12"/>
          </w:p>
          <w:p w14:paraId="3DE8216E" w14:textId="77777777" w:rsidR="00900FEC" w:rsidRPr="00D51F70" w:rsidRDefault="00900FEC" w:rsidP="00900FEC">
            <w:pPr>
              <w:pStyle w:val="EndNoteBibliography"/>
              <w:spacing w:after="0"/>
              <w:ind w:left="720" w:hanging="720"/>
              <w:rPr>
                <w:rFonts w:ascii="Aptos" w:hAnsi="Aptos" w:cs="Calibri"/>
                <w:sz w:val="21"/>
                <w:szCs w:val="21"/>
              </w:rPr>
            </w:pPr>
            <w:bookmarkStart w:id="13" w:name="_ENREF_11"/>
            <w:r w:rsidRPr="00D51F70">
              <w:rPr>
                <w:rFonts w:ascii="Aptos" w:hAnsi="Aptos" w:cs="Calibri"/>
                <w:sz w:val="21"/>
                <w:szCs w:val="21"/>
              </w:rPr>
              <w:t xml:space="preserve">Damon, W., Lerner, R. M., &amp; Eisenberg, N. (2006). </w:t>
            </w:r>
            <w:r w:rsidRPr="00D51F70">
              <w:rPr>
                <w:rFonts w:ascii="Aptos" w:hAnsi="Aptos" w:cs="Calibri"/>
                <w:i/>
                <w:sz w:val="21"/>
                <w:szCs w:val="21"/>
              </w:rPr>
              <w:t>Handbook of Child Psychology Volume 3 Social, Emotional, and Personality Development</w:t>
            </w:r>
            <w:r w:rsidRPr="00D51F70">
              <w:rPr>
                <w:rFonts w:ascii="Aptos" w:hAnsi="Aptos" w:cs="Calibri"/>
                <w:sz w:val="21"/>
                <w:szCs w:val="21"/>
              </w:rPr>
              <w:t xml:space="preserve"> (Vol. 3): Wiley.</w:t>
            </w:r>
            <w:bookmarkEnd w:id="13"/>
          </w:p>
          <w:p w14:paraId="0D5745C4" w14:textId="77777777" w:rsidR="00900FEC" w:rsidRPr="00D51F70" w:rsidRDefault="00900FEC" w:rsidP="00900FEC">
            <w:pPr>
              <w:pStyle w:val="EndNoteBibliography"/>
              <w:spacing w:after="0"/>
              <w:ind w:left="720" w:hanging="720"/>
              <w:rPr>
                <w:rFonts w:ascii="Aptos" w:hAnsi="Aptos" w:cs="Calibri"/>
                <w:sz w:val="21"/>
                <w:szCs w:val="21"/>
              </w:rPr>
            </w:pPr>
            <w:bookmarkStart w:id="14" w:name="_ENREF_12"/>
            <w:r w:rsidRPr="00D51F70">
              <w:rPr>
                <w:rFonts w:ascii="Aptos" w:hAnsi="Aptos" w:cs="Calibri"/>
                <w:sz w:val="21"/>
                <w:szCs w:val="21"/>
              </w:rPr>
              <w:t xml:space="preserve">Damon, W., Lerner, R. M., Kuhn, D., &amp; Siegler, R. S. (2006). </w:t>
            </w:r>
            <w:r w:rsidRPr="00D51F70">
              <w:rPr>
                <w:rFonts w:ascii="Aptos" w:hAnsi="Aptos" w:cs="Calibri"/>
                <w:i/>
                <w:sz w:val="21"/>
                <w:szCs w:val="21"/>
              </w:rPr>
              <w:t>Handbook of Child Psychology Volume 2 Cognition, Perception, and Language</w:t>
            </w:r>
            <w:r w:rsidRPr="00D51F70">
              <w:rPr>
                <w:rFonts w:ascii="Aptos" w:hAnsi="Aptos" w:cs="Calibri"/>
                <w:sz w:val="21"/>
                <w:szCs w:val="21"/>
              </w:rPr>
              <w:t xml:space="preserve"> (Vol. 2): Wiley.</w:t>
            </w:r>
            <w:bookmarkEnd w:id="14"/>
          </w:p>
          <w:p w14:paraId="681C2AA5" w14:textId="77777777" w:rsidR="00900FEC" w:rsidRPr="00D51F70" w:rsidRDefault="00900FEC" w:rsidP="00900FEC">
            <w:pPr>
              <w:pStyle w:val="EndNoteBibliography"/>
              <w:spacing w:after="0"/>
              <w:ind w:left="720" w:hanging="720"/>
              <w:rPr>
                <w:rFonts w:ascii="Aptos" w:hAnsi="Aptos" w:cs="Calibri"/>
                <w:sz w:val="21"/>
                <w:szCs w:val="21"/>
              </w:rPr>
            </w:pPr>
            <w:bookmarkStart w:id="15" w:name="_ENREF_13"/>
            <w:r w:rsidRPr="00D51F70">
              <w:rPr>
                <w:rFonts w:ascii="Aptos" w:hAnsi="Aptos" w:cs="Calibri"/>
                <w:sz w:val="21"/>
                <w:szCs w:val="21"/>
              </w:rPr>
              <w:t xml:space="preserve">Damon, W., Lerner, R. M., Renninger, K. A., &amp; Sigel, I. E. (2007). </w:t>
            </w:r>
            <w:r w:rsidRPr="00D51F70">
              <w:rPr>
                <w:rFonts w:ascii="Aptos" w:hAnsi="Aptos" w:cs="Calibri"/>
                <w:i/>
                <w:sz w:val="21"/>
                <w:szCs w:val="21"/>
              </w:rPr>
              <w:t>Handbook of Child Psychology Volume 4 Child Psychology in Practice</w:t>
            </w:r>
            <w:r w:rsidRPr="00D51F70">
              <w:rPr>
                <w:rFonts w:ascii="Aptos" w:hAnsi="Aptos" w:cs="Calibri"/>
                <w:sz w:val="21"/>
                <w:szCs w:val="21"/>
              </w:rPr>
              <w:t xml:space="preserve"> (Vol. 4): Wiley.</w:t>
            </w:r>
            <w:bookmarkEnd w:id="15"/>
          </w:p>
          <w:p w14:paraId="1B9CEFDC" w14:textId="77777777" w:rsidR="00900FEC" w:rsidRPr="00D51F70" w:rsidRDefault="00900FEC" w:rsidP="00900FEC">
            <w:pPr>
              <w:pStyle w:val="EndNoteBibliography"/>
              <w:spacing w:after="0"/>
              <w:ind w:left="720" w:hanging="720"/>
              <w:rPr>
                <w:rFonts w:ascii="Aptos" w:hAnsi="Aptos" w:cs="Calibri"/>
                <w:sz w:val="21"/>
                <w:szCs w:val="21"/>
              </w:rPr>
            </w:pPr>
            <w:bookmarkStart w:id="16" w:name="_ENREF_14"/>
            <w:r w:rsidRPr="00D51F70">
              <w:rPr>
                <w:rFonts w:ascii="Aptos" w:hAnsi="Aptos" w:cs="Calibri"/>
                <w:sz w:val="21"/>
                <w:szCs w:val="21"/>
              </w:rPr>
              <w:t xml:space="preserve">Davies, D. (2010). </w:t>
            </w:r>
            <w:r w:rsidRPr="00D51F70">
              <w:rPr>
                <w:rFonts w:ascii="Aptos" w:hAnsi="Aptos" w:cs="Calibri"/>
                <w:i/>
                <w:sz w:val="21"/>
                <w:szCs w:val="21"/>
              </w:rPr>
              <w:t>Child Development, Third Edition: A Practitioner's Guide</w:t>
            </w:r>
            <w:r w:rsidRPr="00D51F70">
              <w:rPr>
                <w:rFonts w:ascii="Aptos" w:hAnsi="Aptos" w:cs="Calibri"/>
                <w:sz w:val="21"/>
                <w:szCs w:val="21"/>
              </w:rPr>
              <w:t>: Guilford Publications.</w:t>
            </w:r>
            <w:bookmarkEnd w:id="16"/>
          </w:p>
          <w:p w14:paraId="6EAA7E52" w14:textId="77777777" w:rsidR="00900FEC" w:rsidRPr="00D51F70" w:rsidRDefault="00900FEC" w:rsidP="00900FEC">
            <w:pPr>
              <w:pStyle w:val="EndNoteBibliography"/>
              <w:spacing w:after="0"/>
              <w:ind w:left="720" w:hanging="720"/>
              <w:rPr>
                <w:rFonts w:ascii="Aptos" w:hAnsi="Aptos" w:cs="Calibri"/>
                <w:sz w:val="21"/>
                <w:szCs w:val="21"/>
              </w:rPr>
            </w:pPr>
            <w:bookmarkStart w:id="17" w:name="_ENREF_15"/>
            <w:r w:rsidRPr="00D51F70">
              <w:rPr>
                <w:rFonts w:ascii="Aptos" w:hAnsi="Aptos" w:cs="Calibri"/>
                <w:sz w:val="21"/>
                <w:szCs w:val="21"/>
              </w:rPr>
              <w:t xml:space="preserve">Dogra, N. (2002). </w:t>
            </w:r>
            <w:r w:rsidRPr="00D51F70">
              <w:rPr>
                <w:rFonts w:ascii="Aptos" w:hAnsi="Aptos" w:cs="Calibri"/>
                <w:i/>
                <w:sz w:val="21"/>
                <w:szCs w:val="21"/>
              </w:rPr>
              <w:t>A Multidisciplinary Handbook of Child and Adolescent Mental Health for Front-line Professionals</w:t>
            </w:r>
            <w:r w:rsidRPr="00D51F70">
              <w:rPr>
                <w:rFonts w:ascii="Aptos" w:hAnsi="Aptos" w:cs="Calibri"/>
                <w:sz w:val="21"/>
                <w:szCs w:val="21"/>
              </w:rPr>
              <w:t>: Jessica Kingsley Publishers.</w:t>
            </w:r>
            <w:bookmarkEnd w:id="17"/>
          </w:p>
          <w:p w14:paraId="1DBD00DC" w14:textId="77777777" w:rsidR="00900FEC" w:rsidRPr="00D51F70" w:rsidRDefault="00900FEC" w:rsidP="00900FEC">
            <w:pPr>
              <w:pStyle w:val="EndNoteBibliography"/>
              <w:spacing w:after="0"/>
              <w:ind w:left="720" w:hanging="720"/>
              <w:rPr>
                <w:rFonts w:ascii="Aptos" w:hAnsi="Aptos" w:cs="Calibri"/>
                <w:sz w:val="21"/>
                <w:szCs w:val="21"/>
              </w:rPr>
            </w:pPr>
            <w:bookmarkStart w:id="18" w:name="_ENREF_16"/>
            <w:r w:rsidRPr="00D51F70">
              <w:rPr>
                <w:rFonts w:ascii="Aptos" w:hAnsi="Aptos" w:cs="Calibri"/>
                <w:sz w:val="21"/>
                <w:szCs w:val="21"/>
              </w:rPr>
              <w:t xml:space="preserve">Doherty, M. J. (2008). </w:t>
            </w:r>
            <w:r w:rsidRPr="00D51F70">
              <w:rPr>
                <w:rFonts w:ascii="Aptos" w:hAnsi="Aptos" w:cs="Calibri"/>
                <w:i/>
                <w:sz w:val="21"/>
                <w:szCs w:val="21"/>
              </w:rPr>
              <w:t>Theory of mind: How children understand others' thoughts and feelings</w:t>
            </w:r>
            <w:r w:rsidRPr="00D51F70">
              <w:rPr>
                <w:rFonts w:ascii="Aptos" w:hAnsi="Aptos" w:cs="Calibri"/>
                <w:sz w:val="21"/>
                <w:szCs w:val="21"/>
              </w:rPr>
              <w:t>: Psychology Press.</w:t>
            </w:r>
            <w:bookmarkEnd w:id="18"/>
          </w:p>
          <w:p w14:paraId="76D6AF24" w14:textId="77777777" w:rsidR="00900FEC" w:rsidRPr="00D51F70" w:rsidRDefault="00900FEC" w:rsidP="00900FEC">
            <w:pPr>
              <w:pStyle w:val="EndNoteBibliography"/>
              <w:spacing w:after="0"/>
              <w:ind w:left="720" w:hanging="720"/>
              <w:rPr>
                <w:rFonts w:ascii="Aptos" w:hAnsi="Aptos" w:cs="Calibri"/>
                <w:sz w:val="21"/>
                <w:szCs w:val="21"/>
              </w:rPr>
            </w:pPr>
            <w:bookmarkStart w:id="19" w:name="_ENREF_17"/>
            <w:r w:rsidRPr="00D51F70">
              <w:rPr>
                <w:rFonts w:ascii="Aptos" w:hAnsi="Aptos" w:cs="Calibri"/>
                <w:sz w:val="21"/>
                <w:szCs w:val="21"/>
              </w:rPr>
              <w:t xml:space="preserve">Fingerman, K. L. (2011). </w:t>
            </w:r>
            <w:r w:rsidRPr="00D51F70">
              <w:rPr>
                <w:rFonts w:ascii="Aptos" w:hAnsi="Aptos" w:cs="Calibri"/>
                <w:i/>
                <w:sz w:val="21"/>
                <w:szCs w:val="21"/>
              </w:rPr>
              <w:t>Handbook of Life-Span Development</w:t>
            </w:r>
            <w:r w:rsidRPr="00D51F70">
              <w:rPr>
                <w:rFonts w:ascii="Aptos" w:hAnsi="Aptos" w:cs="Calibri"/>
                <w:sz w:val="21"/>
                <w:szCs w:val="21"/>
              </w:rPr>
              <w:t>: Springer Publishing Company.</w:t>
            </w:r>
            <w:bookmarkEnd w:id="19"/>
          </w:p>
          <w:p w14:paraId="2509F343" w14:textId="77777777" w:rsidR="00900FEC" w:rsidRPr="00D51F70" w:rsidRDefault="00900FEC" w:rsidP="00900FEC">
            <w:pPr>
              <w:pStyle w:val="EndNoteBibliography"/>
              <w:spacing w:after="0"/>
              <w:ind w:left="720" w:hanging="720"/>
              <w:rPr>
                <w:rFonts w:ascii="Aptos" w:hAnsi="Aptos" w:cs="Calibri"/>
                <w:sz w:val="21"/>
                <w:szCs w:val="21"/>
              </w:rPr>
            </w:pPr>
            <w:bookmarkStart w:id="20" w:name="_ENREF_18"/>
            <w:r w:rsidRPr="00D51F70">
              <w:rPr>
                <w:rFonts w:ascii="Aptos" w:hAnsi="Aptos" w:cs="Calibri"/>
                <w:sz w:val="21"/>
                <w:szCs w:val="21"/>
              </w:rPr>
              <w:t xml:space="preserve">Gilmore, K., &amp; Meersand, P. (2014). </w:t>
            </w:r>
            <w:r w:rsidRPr="00D51F70">
              <w:rPr>
                <w:rFonts w:ascii="Aptos" w:hAnsi="Aptos" w:cs="Calibri"/>
                <w:i/>
                <w:sz w:val="21"/>
                <w:szCs w:val="21"/>
              </w:rPr>
              <w:t>The Little Book of Child and Adolescent Development</w:t>
            </w:r>
            <w:r w:rsidRPr="00D51F70">
              <w:rPr>
                <w:rFonts w:ascii="Aptos" w:hAnsi="Aptos" w:cs="Calibri"/>
                <w:sz w:val="21"/>
                <w:szCs w:val="21"/>
              </w:rPr>
              <w:t>: Oxford University Press.</w:t>
            </w:r>
            <w:bookmarkEnd w:id="20"/>
          </w:p>
          <w:p w14:paraId="09C61C7F" w14:textId="77777777" w:rsidR="00900FEC" w:rsidRPr="00D51F70" w:rsidRDefault="00900FEC" w:rsidP="00900FEC">
            <w:pPr>
              <w:pStyle w:val="EndNoteBibliography"/>
              <w:spacing w:after="0"/>
              <w:ind w:left="720" w:hanging="720"/>
              <w:rPr>
                <w:rFonts w:ascii="Aptos" w:hAnsi="Aptos" w:cs="Calibri"/>
                <w:sz w:val="21"/>
                <w:szCs w:val="21"/>
              </w:rPr>
            </w:pPr>
            <w:bookmarkStart w:id="21" w:name="_ENREF_19"/>
            <w:r w:rsidRPr="00D51F70">
              <w:rPr>
                <w:rFonts w:ascii="Aptos" w:hAnsi="Aptos" w:cs="Calibri"/>
                <w:sz w:val="21"/>
                <w:szCs w:val="21"/>
              </w:rPr>
              <w:t xml:space="preserve">Gross, J. J. (2011). </w:t>
            </w:r>
            <w:r w:rsidRPr="00D51F70">
              <w:rPr>
                <w:rFonts w:ascii="Aptos" w:hAnsi="Aptos" w:cs="Calibri"/>
                <w:i/>
                <w:sz w:val="21"/>
                <w:szCs w:val="21"/>
              </w:rPr>
              <w:t>Handbook of Emotion Regulation, First Edition</w:t>
            </w:r>
            <w:r w:rsidRPr="00D51F70">
              <w:rPr>
                <w:rFonts w:ascii="Aptos" w:hAnsi="Aptos" w:cs="Calibri"/>
                <w:sz w:val="21"/>
                <w:szCs w:val="21"/>
              </w:rPr>
              <w:t>: Guilford Publications.</w:t>
            </w:r>
            <w:bookmarkEnd w:id="21"/>
          </w:p>
          <w:p w14:paraId="103FEEBC" w14:textId="77777777" w:rsidR="00900FEC" w:rsidRPr="00D51F70" w:rsidRDefault="00900FEC" w:rsidP="00900FEC">
            <w:pPr>
              <w:pStyle w:val="EndNoteBibliography"/>
              <w:spacing w:after="0"/>
              <w:ind w:left="720" w:hanging="720"/>
              <w:rPr>
                <w:rFonts w:ascii="Aptos" w:hAnsi="Aptos" w:cs="Calibri"/>
                <w:sz w:val="21"/>
                <w:szCs w:val="21"/>
              </w:rPr>
            </w:pPr>
            <w:bookmarkStart w:id="22" w:name="_ENREF_20"/>
            <w:r w:rsidRPr="00D51F70">
              <w:rPr>
                <w:rFonts w:ascii="Aptos" w:hAnsi="Aptos" w:cs="Calibri"/>
                <w:sz w:val="21"/>
                <w:szCs w:val="21"/>
              </w:rPr>
              <w:t xml:space="preserve">Hartung, P. J., &amp; Subich, L. M. (2011). </w:t>
            </w:r>
            <w:r w:rsidRPr="00D51F70">
              <w:rPr>
                <w:rFonts w:ascii="Aptos" w:hAnsi="Aptos" w:cs="Calibri"/>
                <w:i/>
                <w:sz w:val="21"/>
                <w:szCs w:val="21"/>
              </w:rPr>
              <w:t>Developing Self in Work and Career: Concepts, Cases, and Contexts</w:t>
            </w:r>
            <w:r w:rsidRPr="00D51F70">
              <w:rPr>
                <w:rFonts w:ascii="Aptos" w:hAnsi="Aptos" w:cs="Calibri"/>
                <w:sz w:val="21"/>
                <w:szCs w:val="21"/>
              </w:rPr>
              <w:t>: American Psychological Association.</w:t>
            </w:r>
            <w:bookmarkEnd w:id="22"/>
          </w:p>
          <w:p w14:paraId="7FB6576B" w14:textId="77777777" w:rsidR="00900FEC" w:rsidRPr="00D51F70" w:rsidRDefault="00900FEC" w:rsidP="00900FEC">
            <w:pPr>
              <w:pStyle w:val="EndNoteBibliography"/>
              <w:spacing w:after="0"/>
              <w:ind w:left="720" w:hanging="720"/>
              <w:rPr>
                <w:rFonts w:ascii="Aptos" w:hAnsi="Aptos" w:cs="Calibri"/>
                <w:sz w:val="21"/>
                <w:szCs w:val="21"/>
              </w:rPr>
            </w:pPr>
            <w:bookmarkStart w:id="23" w:name="_ENREF_21"/>
            <w:r w:rsidRPr="00D51F70">
              <w:rPr>
                <w:rFonts w:ascii="Aptos" w:hAnsi="Aptos" w:cs="Calibri"/>
                <w:sz w:val="21"/>
                <w:szCs w:val="21"/>
              </w:rPr>
              <w:t xml:space="preserve">Holodynski, M., Harrow, J., &amp; Friedlmeier, W. (2006). </w:t>
            </w:r>
            <w:r w:rsidRPr="00D51F70">
              <w:rPr>
                <w:rFonts w:ascii="Aptos" w:hAnsi="Aptos" w:cs="Calibri"/>
                <w:i/>
                <w:sz w:val="21"/>
                <w:szCs w:val="21"/>
              </w:rPr>
              <w:t>Development of Emotions and Emotion Regulation</w:t>
            </w:r>
            <w:r w:rsidRPr="00D51F70">
              <w:rPr>
                <w:rFonts w:ascii="Aptos" w:hAnsi="Aptos" w:cs="Calibri"/>
                <w:sz w:val="21"/>
                <w:szCs w:val="21"/>
              </w:rPr>
              <w:t>: Springer.</w:t>
            </w:r>
            <w:bookmarkEnd w:id="23"/>
          </w:p>
          <w:p w14:paraId="11449BC2" w14:textId="77777777" w:rsidR="00900FEC" w:rsidRPr="00D51F70" w:rsidRDefault="00900FEC" w:rsidP="00900FEC">
            <w:pPr>
              <w:pStyle w:val="EndNoteBibliography"/>
              <w:spacing w:after="0"/>
              <w:ind w:left="720" w:hanging="720"/>
              <w:rPr>
                <w:rFonts w:ascii="Aptos" w:hAnsi="Aptos" w:cs="Calibri"/>
                <w:sz w:val="21"/>
                <w:szCs w:val="21"/>
              </w:rPr>
            </w:pPr>
            <w:bookmarkStart w:id="24" w:name="_ENREF_22"/>
            <w:r w:rsidRPr="00D51F70">
              <w:rPr>
                <w:rFonts w:ascii="Aptos" w:hAnsi="Aptos" w:cs="Calibri"/>
                <w:sz w:val="21"/>
                <w:szCs w:val="21"/>
              </w:rPr>
              <w:t xml:space="preserve">Kail, R. V. (2013). </w:t>
            </w:r>
            <w:r w:rsidRPr="00D51F70">
              <w:rPr>
                <w:rFonts w:ascii="Aptos" w:hAnsi="Aptos" w:cs="Calibri"/>
                <w:i/>
                <w:sz w:val="21"/>
                <w:szCs w:val="21"/>
              </w:rPr>
              <w:t>Children and Their Development: Pearson New International Edition</w:t>
            </w:r>
            <w:r w:rsidRPr="00D51F70">
              <w:rPr>
                <w:rFonts w:ascii="Aptos" w:hAnsi="Aptos" w:cs="Calibri"/>
                <w:sz w:val="21"/>
                <w:szCs w:val="21"/>
              </w:rPr>
              <w:t>: Pearson Education, Limited.</w:t>
            </w:r>
            <w:bookmarkEnd w:id="24"/>
          </w:p>
          <w:p w14:paraId="10182CEF" w14:textId="77777777" w:rsidR="00900FEC" w:rsidRPr="00D51F70" w:rsidRDefault="00900FEC" w:rsidP="00900FEC">
            <w:pPr>
              <w:pStyle w:val="EndNoteBibliography"/>
              <w:spacing w:after="0"/>
              <w:ind w:left="720" w:hanging="720"/>
              <w:rPr>
                <w:rFonts w:ascii="Aptos" w:hAnsi="Aptos" w:cs="Calibri"/>
                <w:sz w:val="21"/>
                <w:szCs w:val="21"/>
              </w:rPr>
            </w:pPr>
            <w:bookmarkStart w:id="25" w:name="_ENREF_23"/>
            <w:r w:rsidRPr="00D51F70">
              <w:rPr>
                <w:rFonts w:ascii="Aptos" w:hAnsi="Aptos" w:cs="Calibri"/>
                <w:sz w:val="21"/>
                <w:szCs w:val="21"/>
              </w:rPr>
              <w:t xml:space="preserve">Knight, E. B., &amp; Lee, E. L. (2009). </w:t>
            </w:r>
            <w:r w:rsidRPr="00D51F70">
              <w:rPr>
                <w:rFonts w:ascii="Aptos" w:hAnsi="Aptos" w:cs="Calibri"/>
                <w:i/>
                <w:sz w:val="21"/>
                <w:szCs w:val="21"/>
              </w:rPr>
              <w:t>A Guide to Teaching Development Psychology</w:t>
            </w:r>
            <w:r w:rsidRPr="00D51F70">
              <w:rPr>
                <w:rFonts w:ascii="Aptos" w:hAnsi="Aptos" w:cs="Calibri"/>
                <w:sz w:val="21"/>
                <w:szCs w:val="21"/>
              </w:rPr>
              <w:t>: Wiley.</w:t>
            </w:r>
            <w:bookmarkEnd w:id="25"/>
          </w:p>
          <w:p w14:paraId="0A807CEF" w14:textId="77777777" w:rsidR="00900FEC" w:rsidRPr="00D51F70" w:rsidRDefault="00900FEC" w:rsidP="00900FEC">
            <w:pPr>
              <w:pStyle w:val="EndNoteBibliography"/>
              <w:spacing w:after="0"/>
              <w:ind w:left="720" w:hanging="720"/>
              <w:rPr>
                <w:rFonts w:ascii="Aptos" w:hAnsi="Aptos" w:cs="Calibri"/>
                <w:sz w:val="21"/>
                <w:szCs w:val="21"/>
              </w:rPr>
            </w:pPr>
            <w:bookmarkStart w:id="26" w:name="_ENREF_24"/>
            <w:r w:rsidRPr="00D51F70">
              <w:rPr>
                <w:rFonts w:ascii="Aptos" w:hAnsi="Aptos" w:cs="Calibri"/>
                <w:sz w:val="21"/>
                <w:szCs w:val="21"/>
              </w:rPr>
              <w:t xml:space="preserve">Knowles, M. S., Holton, E. F., &amp; Swanson, R. A. (2005). </w:t>
            </w:r>
            <w:r w:rsidRPr="00D51F70">
              <w:rPr>
                <w:rFonts w:ascii="Aptos" w:hAnsi="Aptos" w:cs="Calibri"/>
                <w:i/>
                <w:sz w:val="21"/>
                <w:szCs w:val="21"/>
              </w:rPr>
              <w:t>The Adult Learner</w:t>
            </w:r>
            <w:r w:rsidRPr="00D51F70">
              <w:rPr>
                <w:rFonts w:ascii="Aptos" w:hAnsi="Aptos" w:cs="Calibri"/>
                <w:sz w:val="21"/>
                <w:szCs w:val="21"/>
              </w:rPr>
              <w:t>: Taylor &amp; Francis.</w:t>
            </w:r>
            <w:bookmarkEnd w:id="26"/>
          </w:p>
          <w:p w14:paraId="7E458176" w14:textId="77777777" w:rsidR="00900FEC" w:rsidRPr="00D51F70" w:rsidRDefault="00900FEC" w:rsidP="00900FEC">
            <w:pPr>
              <w:pStyle w:val="EndNoteBibliography"/>
              <w:spacing w:after="0"/>
              <w:ind w:left="720" w:hanging="720"/>
              <w:rPr>
                <w:rFonts w:ascii="Aptos" w:hAnsi="Aptos" w:cs="Calibri"/>
                <w:sz w:val="21"/>
                <w:szCs w:val="21"/>
              </w:rPr>
            </w:pPr>
            <w:bookmarkStart w:id="27" w:name="_ENREF_25"/>
            <w:r w:rsidRPr="00D51F70">
              <w:rPr>
                <w:rFonts w:ascii="Aptos" w:hAnsi="Aptos" w:cs="Calibri"/>
                <w:sz w:val="21"/>
                <w:szCs w:val="21"/>
              </w:rPr>
              <w:t xml:space="preserve">Kuhn, D., &amp; Pease, M. (2006). Do children and adults learn differently? </w:t>
            </w:r>
            <w:r w:rsidRPr="00D51F70">
              <w:rPr>
                <w:rFonts w:ascii="Aptos" w:hAnsi="Aptos" w:cs="Calibri"/>
                <w:i/>
                <w:sz w:val="21"/>
                <w:szCs w:val="21"/>
              </w:rPr>
              <w:t>Journal of Cognition and Development, 7</w:t>
            </w:r>
            <w:r w:rsidRPr="00D51F70">
              <w:rPr>
                <w:rFonts w:ascii="Aptos" w:hAnsi="Aptos" w:cs="Calibri"/>
                <w:sz w:val="21"/>
                <w:szCs w:val="21"/>
              </w:rPr>
              <w:t xml:space="preserve">(3), 279-293. </w:t>
            </w:r>
            <w:bookmarkEnd w:id="27"/>
          </w:p>
          <w:p w14:paraId="4B848540" w14:textId="77777777" w:rsidR="00900FEC" w:rsidRPr="00D51F70" w:rsidRDefault="00900FEC" w:rsidP="00900FEC">
            <w:pPr>
              <w:pStyle w:val="EndNoteBibliography"/>
              <w:spacing w:after="0"/>
              <w:ind w:left="720" w:hanging="720"/>
              <w:rPr>
                <w:rFonts w:ascii="Aptos" w:hAnsi="Aptos" w:cs="Calibri"/>
                <w:sz w:val="21"/>
                <w:szCs w:val="21"/>
              </w:rPr>
            </w:pPr>
            <w:bookmarkStart w:id="28" w:name="_ENREF_26"/>
            <w:r w:rsidRPr="00D51F70">
              <w:rPr>
                <w:rFonts w:ascii="Aptos" w:hAnsi="Aptos" w:cs="Calibri"/>
                <w:sz w:val="21"/>
                <w:szCs w:val="21"/>
              </w:rPr>
              <w:t xml:space="preserve">Lakey, G. (2010). </w:t>
            </w:r>
            <w:r w:rsidRPr="00D51F70">
              <w:rPr>
                <w:rFonts w:ascii="Aptos" w:hAnsi="Aptos" w:cs="Calibri"/>
                <w:i/>
                <w:sz w:val="21"/>
                <w:szCs w:val="21"/>
              </w:rPr>
              <w:t>Facilitating Group Learning: Strategies for Success with Adult Learners</w:t>
            </w:r>
            <w:r w:rsidRPr="00D51F70">
              <w:rPr>
                <w:rFonts w:ascii="Aptos" w:hAnsi="Aptos" w:cs="Calibri"/>
                <w:sz w:val="21"/>
                <w:szCs w:val="21"/>
              </w:rPr>
              <w:t>: Wiley. com.</w:t>
            </w:r>
            <w:bookmarkEnd w:id="28"/>
          </w:p>
          <w:p w14:paraId="35F8CBFB" w14:textId="77777777" w:rsidR="00900FEC" w:rsidRPr="00D51F70" w:rsidRDefault="00900FEC" w:rsidP="00900FEC">
            <w:pPr>
              <w:pStyle w:val="EndNoteBibliography"/>
              <w:spacing w:after="0"/>
              <w:ind w:left="720" w:hanging="720"/>
              <w:rPr>
                <w:rFonts w:ascii="Aptos" w:hAnsi="Aptos" w:cs="Calibri"/>
                <w:sz w:val="21"/>
                <w:szCs w:val="21"/>
              </w:rPr>
            </w:pPr>
            <w:bookmarkStart w:id="29" w:name="_ENREF_27"/>
            <w:r w:rsidRPr="00D51F70">
              <w:rPr>
                <w:rFonts w:ascii="Aptos" w:hAnsi="Aptos" w:cs="Calibri"/>
                <w:sz w:val="21"/>
                <w:szCs w:val="21"/>
              </w:rPr>
              <w:t xml:space="preserve">Moshman, D. (2005). </w:t>
            </w:r>
            <w:r w:rsidRPr="00D51F70">
              <w:rPr>
                <w:rFonts w:ascii="Aptos" w:hAnsi="Aptos" w:cs="Calibri"/>
                <w:i/>
                <w:sz w:val="21"/>
                <w:szCs w:val="21"/>
              </w:rPr>
              <w:t>Adolescent Psychological Development: Rationality, Morality, and Identity</w:t>
            </w:r>
            <w:r w:rsidRPr="00D51F70">
              <w:rPr>
                <w:rFonts w:ascii="Aptos" w:hAnsi="Aptos" w:cs="Calibri"/>
                <w:sz w:val="21"/>
                <w:szCs w:val="21"/>
              </w:rPr>
              <w:t>: L. Erlbaum.</w:t>
            </w:r>
            <w:bookmarkEnd w:id="29"/>
          </w:p>
          <w:p w14:paraId="24B62CF5" w14:textId="77777777" w:rsidR="00900FEC" w:rsidRPr="00D51F70" w:rsidRDefault="00900FEC" w:rsidP="00900FEC">
            <w:pPr>
              <w:pStyle w:val="EndNoteBibliography"/>
              <w:spacing w:after="0"/>
              <w:ind w:left="720" w:hanging="720"/>
              <w:rPr>
                <w:rFonts w:ascii="Aptos" w:hAnsi="Aptos" w:cs="Calibri"/>
                <w:sz w:val="21"/>
                <w:szCs w:val="21"/>
              </w:rPr>
            </w:pPr>
            <w:bookmarkStart w:id="30" w:name="_ENREF_28"/>
            <w:r w:rsidRPr="00D51F70">
              <w:rPr>
                <w:rFonts w:ascii="Aptos" w:hAnsi="Aptos" w:cs="Calibri"/>
                <w:sz w:val="21"/>
                <w:szCs w:val="21"/>
              </w:rPr>
              <w:t xml:space="preserve">Ninivaggi, F. J. (2012). </w:t>
            </w:r>
            <w:r w:rsidRPr="00D51F70">
              <w:rPr>
                <w:rFonts w:ascii="Aptos" w:hAnsi="Aptos" w:cs="Calibri"/>
                <w:i/>
                <w:sz w:val="21"/>
                <w:szCs w:val="21"/>
              </w:rPr>
              <w:t>Biomental Child Development: Perspectives on Psychology and Parenting</w:t>
            </w:r>
            <w:r w:rsidRPr="00D51F70">
              <w:rPr>
                <w:rFonts w:ascii="Aptos" w:hAnsi="Aptos" w:cs="Calibri"/>
                <w:sz w:val="21"/>
                <w:szCs w:val="21"/>
              </w:rPr>
              <w:t>: Rowman &amp; Littlefield Publishers.</w:t>
            </w:r>
            <w:bookmarkEnd w:id="30"/>
          </w:p>
          <w:p w14:paraId="7BE7857F" w14:textId="77777777" w:rsidR="00900FEC" w:rsidRPr="00D51F70" w:rsidRDefault="00900FEC" w:rsidP="00900FEC">
            <w:pPr>
              <w:pStyle w:val="EndNoteBibliography"/>
              <w:spacing w:after="0"/>
              <w:ind w:left="720" w:hanging="720"/>
              <w:rPr>
                <w:rFonts w:ascii="Aptos" w:hAnsi="Aptos" w:cs="Calibri"/>
                <w:sz w:val="21"/>
                <w:szCs w:val="21"/>
              </w:rPr>
            </w:pPr>
            <w:bookmarkStart w:id="31" w:name="_ENREF_29"/>
            <w:r w:rsidRPr="00D51F70">
              <w:rPr>
                <w:rFonts w:ascii="Aptos" w:hAnsi="Aptos" w:cs="Calibri"/>
                <w:sz w:val="21"/>
                <w:szCs w:val="21"/>
              </w:rPr>
              <w:t xml:space="preserve">Rogers, J. (2007). </w:t>
            </w:r>
            <w:r w:rsidRPr="00D51F70">
              <w:rPr>
                <w:rFonts w:ascii="Aptos" w:hAnsi="Aptos" w:cs="Calibri"/>
                <w:i/>
                <w:sz w:val="21"/>
                <w:szCs w:val="21"/>
              </w:rPr>
              <w:t>Adults learning</w:t>
            </w:r>
            <w:r w:rsidRPr="00D51F70">
              <w:rPr>
                <w:rFonts w:ascii="Aptos" w:hAnsi="Aptos" w:cs="Calibri"/>
                <w:sz w:val="21"/>
                <w:szCs w:val="21"/>
              </w:rPr>
              <w:t>: McGraw-Hill International.</w:t>
            </w:r>
            <w:bookmarkEnd w:id="31"/>
          </w:p>
          <w:p w14:paraId="7BF958D0" w14:textId="77777777" w:rsidR="00900FEC" w:rsidRPr="00D51F70" w:rsidRDefault="00900FEC" w:rsidP="00900FEC">
            <w:pPr>
              <w:pStyle w:val="EndNoteBibliography"/>
              <w:spacing w:after="0"/>
              <w:ind w:left="720" w:hanging="720"/>
              <w:rPr>
                <w:rFonts w:ascii="Aptos" w:hAnsi="Aptos" w:cs="Calibri"/>
                <w:sz w:val="21"/>
                <w:szCs w:val="21"/>
              </w:rPr>
            </w:pPr>
            <w:bookmarkStart w:id="32" w:name="_ENREF_30"/>
            <w:r w:rsidRPr="00D51F70">
              <w:rPr>
                <w:rFonts w:ascii="Aptos" w:hAnsi="Aptos" w:cs="Calibri"/>
                <w:sz w:val="21"/>
                <w:szCs w:val="21"/>
              </w:rPr>
              <w:t xml:space="preserve">Ronald T Brown, P. D. A., &amp; Brown, R. T. (2003). </w:t>
            </w:r>
            <w:r w:rsidRPr="00D51F70">
              <w:rPr>
                <w:rFonts w:ascii="Aptos" w:hAnsi="Aptos" w:cs="Calibri"/>
                <w:i/>
                <w:sz w:val="21"/>
                <w:szCs w:val="21"/>
              </w:rPr>
              <w:t>Handbook of Pediatric Psychology in School Settings</w:t>
            </w:r>
            <w:r w:rsidRPr="00D51F70">
              <w:rPr>
                <w:rFonts w:ascii="Aptos" w:hAnsi="Aptos" w:cs="Calibri"/>
                <w:sz w:val="21"/>
                <w:szCs w:val="21"/>
              </w:rPr>
              <w:t>: Taylor &amp; Francis.</w:t>
            </w:r>
            <w:bookmarkEnd w:id="32"/>
          </w:p>
          <w:p w14:paraId="27D1112F" w14:textId="77777777" w:rsidR="00900FEC" w:rsidRPr="00D51F70" w:rsidRDefault="00900FEC" w:rsidP="00900FEC">
            <w:pPr>
              <w:pStyle w:val="EndNoteBibliography"/>
              <w:spacing w:after="0"/>
              <w:ind w:left="720" w:hanging="720"/>
              <w:rPr>
                <w:rFonts w:ascii="Aptos" w:hAnsi="Aptos" w:cs="Calibri"/>
                <w:sz w:val="21"/>
                <w:szCs w:val="21"/>
              </w:rPr>
            </w:pPr>
            <w:bookmarkStart w:id="33" w:name="_ENREF_31"/>
            <w:r w:rsidRPr="00D51F70">
              <w:rPr>
                <w:rFonts w:ascii="Aptos" w:hAnsi="Aptos" w:cs="Calibri"/>
                <w:sz w:val="21"/>
                <w:szCs w:val="21"/>
              </w:rPr>
              <w:t xml:space="preserve">Santrock, J. W. (2011). </w:t>
            </w:r>
            <w:r w:rsidRPr="00D51F70">
              <w:rPr>
                <w:rFonts w:ascii="Aptos" w:hAnsi="Aptos" w:cs="Calibri"/>
                <w:i/>
                <w:sz w:val="21"/>
                <w:szCs w:val="21"/>
              </w:rPr>
              <w:t>Life-span Development</w:t>
            </w:r>
            <w:r w:rsidRPr="00D51F70">
              <w:rPr>
                <w:rFonts w:ascii="Aptos" w:hAnsi="Aptos" w:cs="Calibri"/>
                <w:sz w:val="21"/>
                <w:szCs w:val="21"/>
              </w:rPr>
              <w:t>: McGraw-Hill.</w:t>
            </w:r>
            <w:bookmarkEnd w:id="33"/>
          </w:p>
          <w:p w14:paraId="1A8D0806" w14:textId="77777777" w:rsidR="00900FEC" w:rsidRPr="00D51F70" w:rsidRDefault="00900FEC" w:rsidP="00900FEC">
            <w:pPr>
              <w:pStyle w:val="EndNoteBibliography"/>
              <w:spacing w:after="0"/>
              <w:ind w:left="720" w:hanging="720"/>
              <w:rPr>
                <w:rFonts w:ascii="Aptos" w:hAnsi="Aptos" w:cs="Calibri"/>
                <w:sz w:val="21"/>
                <w:szCs w:val="21"/>
              </w:rPr>
            </w:pPr>
            <w:bookmarkStart w:id="34" w:name="_ENREF_32"/>
            <w:r w:rsidRPr="00D51F70">
              <w:rPr>
                <w:rFonts w:ascii="Aptos" w:hAnsi="Aptos" w:cs="Calibri"/>
                <w:sz w:val="21"/>
                <w:szCs w:val="21"/>
              </w:rPr>
              <w:lastRenderedPageBreak/>
              <w:t xml:space="preserve">Sigelman, C. K., &amp; Rider, E. A. (2009). </w:t>
            </w:r>
            <w:r w:rsidRPr="00D51F70">
              <w:rPr>
                <w:rFonts w:ascii="Aptos" w:hAnsi="Aptos" w:cs="Calibri"/>
                <w:i/>
                <w:sz w:val="21"/>
                <w:szCs w:val="21"/>
              </w:rPr>
              <w:t>Life-Span Human Development</w:t>
            </w:r>
            <w:r w:rsidRPr="00D51F70">
              <w:rPr>
                <w:rFonts w:ascii="Aptos" w:hAnsi="Aptos" w:cs="Calibri"/>
                <w:sz w:val="21"/>
                <w:szCs w:val="21"/>
              </w:rPr>
              <w:t>: Wadsworth Cengage Learning.</w:t>
            </w:r>
            <w:bookmarkEnd w:id="34"/>
          </w:p>
          <w:p w14:paraId="2F79A0C1" w14:textId="77777777" w:rsidR="00900FEC" w:rsidRPr="00D51F70" w:rsidRDefault="00900FEC" w:rsidP="00900FEC">
            <w:pPr>
              <w:pStyle w:val="EndNoteBibliography"/>
              <w:spacing w:after="0"/>
              <w:ind w:left="720" w:hanging="720"/>
              <w:rPr>
                <w:rFonts w:ascii="Aptos" w:hAnsi="Aptos" w:cs="Calibri"/>
                <w:sz w:val="21"/>
                <w:szCs w:val="21"/>
              </w:rPr>
            </w:pPr>
            <w:bookmarkStart w:id="35" w:name="_ENREF_33"/>
            <w:r w:rsidRPr="00D51F70">
              <w:rPr>
                <w:rFonts w:ascii="Aptos" w:hAnsi="Aptos" w:cs="Calibri"/>
                <w:sz w:val="21"/>
                <w:szCs w:val="21"/>
              </w:rPr>
              <w:t xml:space="preserve">Stanciu, I. D. (2013). </w:t>
            </w:r>
            <w:r w:rsidRPr="00D51F70">
              <w:rPr>
                <w:rFonts w:ascii="Aptos" w:hAnsi="Aptos" w:cs="Calibri"/>
                <w:i/>
                <w:sz w:val="21"/>
                <w:szCs w:val="21"/>
              </w:rPr>
              <w:t>Raţionalitate şi control în autoreglarea învățării la studenţi. Modelare conceptuală și intervenții experimentale de validare</w:t>
            </w:r>
            <w:r w:rsidRPr="00D51F70">
              <w:rPr>
                <w:rFonts w:ascii="Aptos" w:hAnsi="Aptos" w:cs="Calibri"/>
                <w:sz w:val="21"/>
                <w:szCs w:val="21"/>
              </w:rPr>
              <w:t>. Cluj-Napoca: Presa Universitară Clujeană.</w:t>
            </w:r>
            <w:bookmarkEnd w:id="35"/>
          </w:p>
          <w:p w14:paraId="6818C608" w14:textId="77777777" w:rsidR="00900FEC" w:rsidRPr="00D51F70" w:rsidRDefault="00900FEC" w:rsidP="00900FEC">
            <w:pPr>
              <w:pStyle w:val="EndNoteBibliography"/>
              <w:spacing w:after="0"/>
              <w:ind w:left="720" w:hanging="720"/>
              <w:rPr>
                <w:rFonts w:ascii="Aptos" w:hAnsi="Aptos" w:cs="Calibri"/>
                <w:sz w:val="21"/>
                <w:szCs w:val="21"/>
              </w:rPr>
            </w:pPr>
            <w:bookmarkStart w:id="36" w:name="_ENREF_34"/>
            <w:r w:rsidRPr="00D51F70">
              <w:rPr>
                <w:rFonts w:ascii="Aptos" w:hAnsi="Aptos" w:cs="Calibri"/>
                <w:sz w:val="21"/>
                <w:szCs w:val="21"/>
              </w:rPr>
              <w:t xml:space="preserve">Stanciu, I. D. (2014). </w:t>
            </w:r>
            <w:r w:rsidRPr="00D51F70">
              <w:rPr>
                <w:rFonts w:ascii="Aptos" w:hAnsi="Aptos" w:cs="Calibri"/>
                <w:i/>
                <w:sz w:val="21"/>
                <w:szCs w:val="21"/>
              </w:rPr>
              <w:t>Elemente introductive de cercetare și statistică pentru profesori. Repere pentru cercetare-acțiune și scriere academică</w:t>
            </w:r>
            <w:r w:rsidRPr="00D51F70">
              <w:rPr>
                <w:rFonts w:ascii="Aptos" w:hAnsi="Aptos" w:cs="Calibri"/>
                <w:sz w:val="21"/>
                <w:szCs w:val="21"/>
              </w:rPr>
              <w:t>. Cluj-Napoca: Ed. Presa Universitară Clujeană.</w:t>
            </w:r>
            <w:bookmarkEnd w:id="36"/>
          </w:p>
          <w:p w14:paraId="19720A68" w14:textId="77777777" w:rsidR="00900FEC" w:rsidRPr="00D51F70" w:rsidRDefault="00900FEC" w:rsidP="00900FEC">
            <w:pPr>
              <w:pStyle w:val="EndNoteBibliography"/>
              <w:spacing w:after="0"/>
              <w:ind w:left="720" w:hanging="720"/>
              <w:rPr>
                <w:rFonts w:ascii="Aptos" w:hAnsi="Aptos" w:cs="Calibri"/>
                <w:sz w:val="21"/>
                <w:szCs w:val="21"/>
              </w:rPr>
            </w:pPr>
            <w:bookmarkStart w:id="37" w:name="_ENREF_35"/>
            <w:r w:rsidRPr="00D51F70">
              <w:rPr>
                <w:rFonts w:ascii="Aptos" w:hAnsi="Aptos" w:cs="Calibri"/>
                <w:sz w:val="21"/>
                <w:szCs w:val="21"/>
              </w:rPr>
              <w:t xml:space="preserve">Taylor, L. M. (2005). </w:t>
            </w:r>
            <w:r w:rsidRPr="00D51F70">
              <w:rPr>
                <w:rFonts w:ascii="Aptos" w:hAnsi="Aptos" w:cs="Calibri"/>
                <w:i/>
                <w:sz w:val="21"/>
                <w:szCs w:val="21"/>
              </w:rPr>
              <w:t>Introducing Cognitive Development</w:t>
            </w:r>
            <w:r w:rsidRPr="00D51F70">
              <w:rPr>
                <w:rFonts w:ascii="Aptos" w:hAnsi="Aptos" w:cs="Calibri"/>
                <w:sz w:val="21"/>
                <w:szCs w:val="21"/>
              </w:rPr>
              <w:t>: Psychology Press.</w:t>
            </w:r>
            <w:bookmarkEnd w:id="37"/>
          </w:p>
          <w:p w14:paraId="47060808" w14:textId="77777777" w:rsidR="00900FEC" w:rsidRPr="00D51F70" w:rsidRDefault="00900FEC" w:rsidP="00900FEC">
            <w:pPr>
              <w:pStyle w:val="EndNoteBibliography"/>
              <w:spacing w:after="0"/>
              <w:ind w:left="720" w:hanging="720"/>
              <w:rPr>
                <w:rFonts w:ascii="Aptos" w:hAnsi="Aptos" w:cs="Calibri"/>
                <w:sz w:val="21"/>
                <w:szCs w:val="21"/>
              </w:rPr>
            </w:pPr>
            <w:bookmarkStart w:id="38" w:name="_ENREF_36"/>
            <w:r w:rsidRPr="00D51F70">
              <w:rPr>
                <w:rFonts w:ascii="Aptos" w:hAnsi="Aptos" w:cs="Calibri"/>
                <w:sz w:val="21"/>
                <w:szCs w:val="21"/>
              </w:rPr>
              <w:t xml:space="preserve">Torey, Z. (2009). </w:t>
            </w:r>
            <w:r w:rsidRPr="00D51F70">
              <w:rPr>
                <w:rFonts w:ascii="Aptos" w:hAnsi="Aptos" w:cs="Calibri"/>
                <w:i/>
                <w:sz w:val="21"/>
                <w:szCs w:val="21"/>
              </w:rPr>
              <w:t>The crucible of consciousness: An integrated theory of mind and brain</w:t>
            </w:r>
            <w:r w:rsidRPr="00D51F70">
              <w:rPr>
                <w:rFonts w:ascii="Aptos" w:hAnsi="Aptos" w:cs="Calibri"/>
                <w:sz w:val="21"/>
                <w:szCs w:val="21"/>
              </w:rPr>
              <w:t>: MIT press Cambridge.</w:t>
            </w:r>
            <w:bookmarkEnd w:id="38"/>
          </w:p>
          <w:p w14:paraId="445B5600" w14:textId="2853FB47" w:rsidR="00A66978" w:rsidRPr="00D51F70" w:rsidRDefault="00900FEC" w:rsidP="00900FEC">
            <w:pPr>
              <w:pStyle w:val="EndNoteBibliography"/>
              <w:ind w:left="720" w:hanging="720"/>
              <w:rPr>
                <w:rFonts w:ascii="Aptos" w:hAnsi="Aptos" w:cs="Calibri"/>
                <w:sz w:val="21"/>
                <w:szCs w:val="21"/>
              </w:rPr>
            </w:pPr>
            <w:bookmarkStart w:id="39" w:name="_ENREF_37"/>
            <w:bookmarkEnd w:id="1"/>
            <w:bookmarkEnd w:id="2"/>
            <w:r w:rsidRPr="00D51F70">
              <w:rPr>
                <w:rFonts w:ascii="Aptos" w:hAnsi="Aptos" w:cs="Calibri"/>
                <w:sz w:val="21"/>
                <w:szCs w:val="21"/>
              </w:rPr>
              <w:t xml:space="preserve">Weiner, I. B., Freedheim, D. K., Schinka, J. A., &amp; Velicer, W. F. (2003). </w:t>
            </w:r>
            <w:r w:rsidRPr="00D51F70">
              <w:rPr>
                <w:rFonts w:ascii="Aptos" w:hAnsi="Aptos" w:cs="Calibri"/>
                <w:i/>
                <w:sz w:val="21"/>
                <w:szCs w:val="21"/>
              </w:rPr>
              <w:t>Handbook of Psychology, Developmental Psychology</w:t>
            </w:r>
            <w:r w:rsidRPr="00D51F70">
              <w:rPr>
                <w:rFonts w:ascii="Aptos" w:hAnsi="Aptos" w:cs="Calibri"/>
                <w:sz w:val="21"/>
                <w:szCs w:val="21"/>
              </w:rPr>
              <w:t>: Wiley.</w:t>
            </w:r>
            <w:bookmarkEnd w:id="3"/>
            <w:bookmarkEnd w:id="39"/>
          </w:p>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c>
          <w:tcPr>
            <w:tcW w:w="5534" w:type="dxa"/>
            <w:tcBorders>
              <w:top w:val="single" w:sz="4" w:space="0" w:color="000000"/>
              <w:left w:val="single" w:sz="4" w:space="0" w:color="000000"/>
              <w:bottom w:val="single" w:sz="4" w:space="0" w:color="000000"/>
              <w:right w:val="single" w:sz="4" w:space="0" w:color="000000"/>
            </w:tcBorders>
            <w:shd w:color="auto" w:fill="E0E0E0" w:val="clear"/>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9.2 Seminar / laborator / proiect</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Nr. ore</w:t>
            </w:r>
          </w:p>
        </w:tc>
        <w:tc>
          <w:tcPr>
            <w:tcW w:w="1899"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Metode de predare</w:t>
            </w:r>
          </w:p>
        </w:tc>
        <w:tc>
          <w:tcPr>
            <w:tcW w:w="1428" w:type="dxa"/>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ascii="Aptos" w:hAnsi="Aptos" w:cstheme="minorHAnsi"/>
                <w:sz w:val="21"/>
                <w:szCs w:val="21"/>
                <w:lang w:val="ro-RO"/>
              </w:rPr>
              <w:t>Observaţii</w:t>
            </w:r>
          </w:p>
        </w:tc>
      </w:tr>
      <w:tr>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88" w:name="bkm_82_contents_a_1"/>
            <w:r>
              <w:rPr>
                <w:rFonts w:cs="Calibri" w:ascii="Aptos" w:hAnsi="Aptos" w:cstheme="minorHAnsi"/>
                <w:sz w:val="21"/>
                <w:szCs w:val="21"/>
                <w:lang w:val="ro-RO"/>
              </w:rPr>
              <w:t>Identificare comparată a etapelor și reperelor majore de dezvoltare.</w:t>
            </w:r>
            <w:bookmarkEnd w:id="88"/>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89" w:name="bkm_82_hrs_a_1"/>
            <w:r>
              <w:rPr>
                <w:rFonts w:cs="Calibri" w:ascii="Aptos" w:hAnsi="Aptos" w:cstheme="minorHAnsi"/>
                <w:sz w:val="21"/>
                <w:szCs w:val="21"/>
                <w:lang w:val="ro-RO"/>
              </w:rPr>
              <w:t>4</w:t>
            </w:r>
            <w:bookmarkEnd w:id="89"/>
          </w:p>
        </w:tc>
        <w:tc>
          <w:tcPr>
            <w:tcW w:w="1899" w:type="dxa"/>
            <w:vMerge w:val="restart"/>
            <w:tcBorders>
              <w:top w:val="single" w:sz="4" w:space="0" w:color="000000"/>
              <w:left w:val="single" w:sz="4" w:space="0" w:color="000000"/>
              <w:bottom w:val="single" w:sz="4" w:space="0" w:color="000000"/>
              <w:right w:val="single" w:sz="4" w:space="0" w:color="000000"/>
            </w:tcBorders>
          </w:tcPr>
          <w:p>
            <w:pPr>
              <w:pStyle w:val="Normal"/>
              <w:rPr>
                <w:rFonts w:ascii="Aptos" w:hAnsi="Aptos" w:cs="Calibri" w:cstheme="minorHAnsi"/>
                <w:sz w:val="21"/>
                <w:szCs w:val="21"/>
                <w:lang w:val="ro-RO"/>
              </w:rPr>
            </w:pPr>
            <w:bookmarkStart w:id="90" w:name="bkm_82_methods_a"/>
            <w:r>
              <w:rPr>
                <w:rFonts w:cs="Calibri" w:ascii="Aptos" w:hAnsi="Aptos" w:cstheme="minorHAnsi"/>
                <w:sz w:val="21"/>
                <w:szCs w:val="21"/>
                <w:lang w:val="ro-RO"/>
              </w:rPr>
              <w:t xml:space="preserve">Curs interactiv:</w:t>
              <w:br/>
              <w:t xml:space="preserve">expunerea;</w:t>
              <w:br/>
              <w:t xml:space="preserve">prelegerea intensificată;</w:t>
              <w:br/>
              <w:t xml:space="preserve">explicația;</w:t>
              <w:br/>
              <w:t xml:space="preserve">conversația euristică;</w:t>
              <w:br/>
              <w:t xml:space="preserve">problematizarea;</w:t>
              <w:br/>
              <w:t xml:space="preserve">dezbaterea;</w:t>
              <w:br/>
              <w:t xml:space="preserve">studiu de caz;</w:t>
              <w:br/>
              <w:t xml:space="preserve">jocul de rol.</w:t>
            </w:r>
            <w:bookmarkEnd w:id="90"/>
          </w:p>
        </w:tc>
        <w:tc>
          <w:tcPr>
            <w:tcW w:w="142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ptos" w:hAnsi="Aptos" w:cs="Calibri" w:cstheme="minorHAnsi"/>
                <w:sz w:val="21"/>
                <w:szCs w:val="21"/>
                <w:lang w:val="ro-RO"/>
              </w:rPr>
            </w:pPr>
            <w:bookmarkStart w:id="91" w:name="bkm_82_notes_a"/>
            <w:r>
              <w:rPr>
                <w:rFonts w:cs="Calibri" w:ascii="Aptos" w:hAnsi="Aptos" w:cstheme="minorHAnsi"/>
                <w:sz w:val="21"/>
                <w:szCs w:val="21"/>
                <w:lang w:val="ro-RO"/>
              </w:rPr>
              <w:t>-</w:t>
            </w:r>
            <w:bookmarkEnd w:id="91"/>
          </w:p>
        </w:tc>
      </w:tr>
      <w:tr>
        <w:trPr>
          <w:trHeight w:val="285"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92" w:name="bkm_82_contents_a_2"/>
            <w:r>
              <w:rPr>
                <w:rFonts w:cs="Calibri" w:ascii="Aptos" w:hAnsi="Aptos" w:cstheme="minorHAnsi"/>
                <w:sz w:val="21"/>
                <w:szCs w:val="21"/>
                <w:lang w:val="ro-RO"/>
              </w:rPr>
              <w:t>Constructe personale relevante pentru funcționarea socială și școlară (sinele academic, locus of control, autoeficacitatea, independența).</w:t>
            </w:r>
            <w:bookmarkEnd w:id="92"/>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93" w:name="bkm_82_hrs_a_2"/>
            <w:r>
              <w:rPr>
                <w:rFonts w:cs="Calibri" w:ascii="Aptos" w:hAnsi="Aptos" w:cstheme="minorHAnsi"/>
                <w:sz w:val="21"/>
                <w:szCs w:val="21"/>
                <w:lang w:val="ro-RO"/>
              </w:rPr>
              <w:t>4</w:t>
            </w:r>
            <w:bookmarkEnd w:id="93"/>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94" w:name="bkm_82_contents_a_3"/>
            <w:r>
              <w:rPr>
                <w:rFonts w:cs="Calibri" w:ascii="Aptos" w:hAnsi="Aptos" w:cstheme="minorHAnsi"/>
                <w:sz w:val="21"/>
                <w:szCs w:val="21"/>
                <w:lang w:val="ro-RO"/>
              </w:rPr>
              <w:t>Organizarea învățării (inițiere, menținere, monitorizare, adaptare). Motivare și automotivare. Autodeterminare și autodirijare a învățării. Autoreglare în învățare.</w:t>
            </w:r>
            <w:bookmarkEnd w:id="94"/>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95" w:name="bkm_82_hrs_a_3"/>
            <w:r>
              <w:rPr>
                <w:rFonts w:cs="Calibri" w:ascii="Aptos" w:hAnsi="Aptos" w:cstheme="minorHAnsi"/>
                <w:sz w:val="21"/>
                <w:szCs w:val="21"/>
                <w:lang w:val="ro-RO"/>
              </w:rPr>
              <w:t>4</w:t>
            </w:r>
            <w:bookmarkEnd w:id="95"/>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96" w:name="bkm_82_contents_a_4"/>
            <w:r>
              <w:rPr>
                <w:rFonts w:cs="Calibri" w:ascii="Aptos" w:hAnsi="Aptos" w:cstheme="minorHAnsi"/>
                <w:sz w:val="21"/>
                <w:szCs w:val="21"/>
                <w:lang w:val="ro-RO"/>
              </w:rPr>
              <w:t>Caracteristicile predării eficiente din perspectiva psihologiei. Construcția diferențiată a instrucției în funcție de caracteristicile instruitului.</w:t>
            </w:r>
            <w:bookmarkEnd w:id="96"/>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97" w:name="bkm_82_hrs_a_4"/>
            <w:r>
              <w:rPr>
                <w:rFonts w:cs="Calibri" w:ascii="Aptos" w:hAnsi="Aptos" w:cstheme="minorHAnsi"/>
                <w:sz w:val="21"/>
                <w:szCs w:val="21"/>
                <w:lang w:val="ro-RO"/>
              </w:rPr>
              <w:t>4</w:t>
            </w:r>
            <w:bookmarkEnd w:id="97"/>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98" w:name="bkm_82_contents_a_5"/>
            <w:r>
              <w:rPr>
                <w:rFonts w:cs="Calibri" w:ascii="Aptos" w:hAnsi="Aptos" w:cstheme="minorHAnsi"/>
                <w:sz w:val="21"/>
                <w:szCs w:val="21"/>
                <w:lang w:val="ro-RO"/>
              </w:rPr>
              <w:t>Identificarea și abordarea diferențiată a problemelor de dezvoltare.</w:t>
            </w:r>
            <w:bookmarkEnd w:id="98"/>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99" w:name="bkm_82_hrs_a_5"/>
            <w:r>
              <w:rPr>
                <w:rFonts w:cs="Calibri" w:ascii="Aptos" w:hAnsi="Aptos" w:cstheme="minorHAnsi"/>
                <w:sz w:val="21"/>
                <w:szCs w:val="21"/>
                <w:lang w:val="ro-RO"/>
              </w:rPr>
              <w:t>4</w:t>
            </w:r>
            <w:bookmarkEnd w:id="99"/>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282"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00" w:name="bkm_82_contents_a_6"/>
            <w:r>
              <w:rPr>
                <w:rFonts w:cs="Calibri" w:ascii="Aptos" w:hAnsi="Aptos" w:cstheme="minorHAnsi"/>
                <w:sz w:val="21"/>
                <w:szCs w:val="21"/>
                <w:lang w:val="ro-RO"/>
              </w:rPr>
              <w:t>Metode si instrumente de cunoastere stiintifica (obiectiva, riguroasa, valida) a personalitatii (interviu, focus-group, chestionare, cercetare-actiune, cvasi-experiment).</w:t>
            </w:r>
            <w:bookmarkEnd w:id="100"/>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01" w:name="bkm_82_hrs_a_6"/>
            <w:r>
              <w:rPr>
                <w:rFonts w:cs="Calibri" w:ascii="Aptos" w:hAnsi="Aptos" w:cstheme="minorHAnsi"/>
                <w:sz w:val="21"/>
                <w:szCs w:val="21"/>
                <w:lang w:val="ro-RO"/>
              </w:rPr>
              <w:t>4</w:t>
            </w:r>
            <w:bookmarkEnd w:id="101"/>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203"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02" w:name="bkm_82_contents_a_7"/>
            <w:r>
              <w:rPr>
                <w:rFonts w:cs="Calibri" w:ascii="Aptos" w:hAnsi="Aptos" w:cstheme="minorHAnsi"/>
                <w:sz w:val="21"/>
                <w:szCs w:val="21"/>
                <w:lang w:val="ro-RO"/>
              </w:rPr>
              <w:t>Evaluare și autoevaluare sub aspectul performanțelor intelectuale și atingerii standardelor/scopurilor.</w:t>
            </w:r>
            <w:bookmarkEnd w:id="102"/>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03" w:name="bkm_82_hrs_a_7"/>
            <w:r>
              <w:rPr>
                <w:rFonts w:cs="Calibri" w:ascii="Aptos" w:hAnsi="Aptos" w:cstheme="minorHAnsi"/>
                <w:sz w:val="21"/>
                <w:szCs w:val="21"/>
                <w:lang w:val="ro-RO"/>
              </w:rPr>
              <w:t>4</w:t>
            </w:r>
            <w:bookmarkEnd w:id="103"/>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198"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04" w:name="bkm_82_contents_a_8"/>
            <w:r>
              <w:rPr>
                <w:rFonts w:cs="Calibri" w:ascii="Aptos" w:hAnsi="Aptos" w:cstheme="minorHAnsi"/>
                <w:sz w:val="21"/>
                <w:szCs w:val="21"/>
                <w:lang w:val="ro-RO"/>
              </w:rPr>
              <w:t>-</w:t>
            </w:r>
            <w:bookmarkEnd w:id="104"/>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05" w:name="bkm_82_hrs_a_8"/>
            <w:r>
              <w:rPr>
                <w:rFonts w:cs="Calibri" w:ascii="Aptos" w:hAnsi="Aptos" w:cstheme="minorHAnsi"/>
                <w:sz w:val="21"/>
                <w:szCs w:val="21"/>
                <w:lang w:val="ro-RO"/>
              </w:rPr>
              <w:t>-</w:t>
            </w:r>
            <w:bookmarkEnd w:id="105"/>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198"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06" w:name="bkm_82_contents_a_9"/>
            <w:r>
              <w:rPr>
                <w:rFonts w:cs="Calibri" w:ascii="Aptos" w:hAnsi="Aptos" w:cstheme="minorHAnsi"/>
                <w:sz w:val="21"/>
                <w:szCs w:val="21"/>
                <w:lang w:val="ro-RO"/>
              </w:rPr>
              <w:t>-</w:t>
            </w:r>
            <w:bookmarkEnd w:id="106"/>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07" w:name="bkm_82_hrs_a_9"/>
            <w:r>
              <w:rPr>
                <w:rFonts w:cs="Calibri" w:ascii="Aptos" w:hAnsi="Aptos" w:cstheme="minorHAnsi"/>
                <w:sz w:val="21"/>
                <w:szCs w:val="21"/>
                <w:lang w:val="ro-RO"/>
              </w:rPr>
              <w:t>-</w:t>
            </w:r>
            <w:bookmarkEnd w:id="107"/>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198"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08" w:name="bkm_82_contents_a_10"/>
            <w:r>
              <w:rPr>
                <w:rFonts w:cs="Calibri" w:ascii="Aptos" w:hAnsi="Aptos" w:cstheme="minorHAnsi"/>
                <w:sz w:val="21"/>
                <w:szCs w:val="21"/>
                <w:lang w:val="ro-RO"/>
              </w:rPr>
              <w:t>-</w:t>
            </w:r>
            <w:bookmarkEnd w:id="108"/>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09" w:name="bkm_82_hrs_a_10"/>
            <w:r>
              <w:rPr>
                <w:rFonts w:cs="Calibri" w:ascii="Aptos" w:hAnsi="Aptos" w:cstheme="minorHAnsi"/>
                <w:sz w:val="21"/>
                <w:szCs w:val="21"/>
                <w:lang w:val="ro-RO"/>
              </w:rPr>
              <w:t>-</w:t>
            </w:r>
            <w:bookmarkEnd w:id="109"/>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198"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10" w:name="bkm_82_contents_a_11"/>
            <w:r>
              <w:rPr>
                <w:rFonts w:cs="Calibri" w:ascii="Aptos" w:hAnsi="Aptos" w:cstheme="minorHAnsi"/>
                <w:sz w:val="21"/>
                <w:szCs w:val="21"/>
                <w:lang w:val="ro-RO"/>
              </w:rPr>
              <w:t>-</w:t>
            </w:r>
            <w:bookmarkEnd w:id="110"/>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11" w:name="bkm_82_hrs_a_11"/>
            <w:r>
              <w:rPr>
                <w:rFonts w:cs="Calibri" w:ascii="Aptos" w:hAnsi="Aptos" w:cstheme="minorHAnsi"/>
                <w:sz w:val="21"/>
                <w:szCs w:val="21"/>
                <w:lang w:val="ro-RO"/>
              </w:rPr>
              <w:t>-</w:t>
            </w:r>
            <w:bookmarkEnd w:id="111"/>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198"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12" w:name="bkm_82_contents_a_12"/>
            <w:r>
              <w:rPr>
                <w:rFonts w:cs="Calibri" w:ascii="Aptos" w:hAnsi="Aptos" w:cstheme="minorHAnsi"/>
                <w:sz w:val="21"/>
                <w:szCs w:val="21"/>
                <w:lang w:val="ro-RO"/>
              </w:rPr>
              <w:t>-</w:t>
            </w:r>
            <w:bookmarkEnd w:id="112"/>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13" w:name="bkm_82_hrs_a_12"/>
            <w:r>
              <w:rPr>
                <w:rFonts w:cs="Calibri" w:ascii="Aptos" w:hAnsi="Aptos" w:cstheme="minorHAnsi"/>
                <w:sz w:val="21"/>
                <w:szCs w:val="21"/>
                <w:lang w:val="ro-RO"/>
              </w:rPr>
              <w:t>-</w:t>
            </w:r>
            <w:bookmarkEnd w:id="113"/>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80"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14" w:name="bkm_82_contents_a_13"/>
            <w:r>
              <w:rPr>
                <w:rFonts w:cs="Calibri" w:ascii="Aptos" w:hAnsi="Aptos" w:cstheme="minorHAnsi"/>
                <w:sz w:val="21"/>
                <w:szCs w:val="21"/>
                <w:lang w:val="ro-RO"/>
              </w:rPr>
              <w:t>-</w:t>
            </w:r>
            <w:bookmarkEnd w:id="114"/>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15" w:name="bkm_82_hrs_a_13"/>
            <w:r>
              <w:rPr>
                <w:rFonts w:cs="Calibri" w:ascii="Aptos" w:hAnsi="Aptos" w:cstheme="minorHAnsi"/>
                <w:sz w:val="21"/>
                <w:szCs w:val="21"/>
                <w:lang w:val="ro-RO"/>
              </w:rPr>
              <w:t>-</w:t>
            </w:r>
            <w:bookmarkEnd w:id="115"/>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r>
      <w:tr>
        <w:trPr>
          <w:trHeight w:val="80" w:hRule="atLeast"/>
        </w:trPr>
        <w:tc>
          <w:tcPr>
            <w:tcW w:w="5534" w:type="dxa"/>
            <w:tcBorders>
              <w:top w:val="single" w:sz="4" w:space="0" w:color="000000"/>
              <w:left w:val="single" w:sz="4" w:space="0" w:color="000000"/>
              <w:bottom w:val="single" w:sz="4" w:space="0" w:color="000000"/>
              <w:right w:val="single" w:sz="4" w:space="0" w:color="000000"/>
            </w:tcBorders>
            <w:shd w:color="auto" w:fill="E0E0E0" w:val="clear"/>
          </w:tcPr>
          <w:p>
            <w:pPr>
              <w:pStyle w:val="Normal"/>
              <w:overflowPunct w:val="true"/>
              <w:textAlignment w:val="baseline"/>
              <w:rPr>
                <w:rFonts w:ascii="Aptos" w:hAnsi="Aptos" w:cs="Calibri" w:cstheme="minorHAnsi"/>
                <w:sz w:val="21"/>
                <w:szCs w:val="21"/>
                <w:lang w:val="ro-RO"/>
              </w:rPr>
            </w:pPr>
            <w:bookmarkStart w:id="116" w:name="bkm_82_contents_a_14"/>
            <w:r>
              <w:rPr>
                <w:rFonts w:cs="Calibri" w:ascii="Aptos" w:hAnsi="Aptos" w:cstheme="minorHAnsi"/>
                <w:sz w:val="21"/>
                <w:szCs w:val="21"/>
                <w:lang w:val="ro-RO"/>
              </w:rPr>
              <w:t>-</w:t>
            </w:r>
            <w:bookmarkEnd w:id="116"/>
          </w:p>
        </w:tc>
        <w:tc>
          <w:tcPr>
            <w:tcW w:w="776" w:type="dxa"/>
            <w:tcBorders>
              <w:top w:val="single" w:sz="4" w:space="0" w:color="000000"/>
              <w:left w:val="single" w:sz="4" w:space="0" w:color="000000"/>
              <w:bottom w:val="single" w:sz="4" w:space="0" w:color="000000"/>
              <w:right w:val="single" w:sz="4" w:space="0" w:color="000000"/>
            </w:tcBorders>
          </w:tcPr>
          <w:p>
            <w:pPr>
              <w:pStyle w:val="Normal"/>
              <w:overflowPunct w:val="true"/>
              <w:jc w:val="center"/>
              <w:textAlignment w:val="baseline"/>
              <w:rPr>
                <w:rFonts w:ascii="Aptos" w:hAnsi="Aptos" w:cs="Calibri" w:cstheme="minorHAnsi"/>
                <w:sz w:val="21"/>
                <w:szCs w:val="21"/>
                <w:lang w:val="ro-RO"/>
              </w:rPr>
            </w:pPr>
            <w:bookmarkStart w:id="117" w:name="bkm_82_hrs_a_14"/>
            <w:r>
              <w:rPr>
                <w:rFonts w:cs="Calibri" w:ascii="Aptos" w:hAnsi="Aptos" w:cstheme="minorHAnsi"/>
                <w:sz w:val="21"/>
                <w:szCs w:val="21"/>
                <w:lang w:val="ro-RO"/>
              </w:rPr>
              <w:t>-</w:t>
            </w:r>
            <w:bookmarkEnd w:id="117"/>
          </w:p>
        </w:tc>
        <w:tc>
          <w:tcPr>
            <w:tcW w:w="18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p>
        </w:tc>
        <w:tc>
          <w:tcPr>
            <w:tcW w:w="142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rFonts w:ascii="Aptos" w:hAnsi="Aptos" w:cs="Calibri" w:cstheme="minorHAnsi"/>
                <w:sz w:val="21"/>
                <w:szCs w:val="21"/>
                <w:lang w:val="ro-RO"/>
              </w:rPr>
            </w:pPr>
            <w:r>
              <w:rPr>
                <w:rFonts w:cs="Calibri" w:cstheme="minorHAnsi" w:ascii="Aptos" w:hAnsi="Aptos"/>
                <w:sz w:val="21"/>
                <w:szCs w:val="21"/>
                <w:lang w:val="ro-RO"/>
              </w:rPr>
            </w:r>
            <w:bookmarkStart w:id="118" w:name="_Hlk119585088"/>
            <w:bookmarkStart w:id="119" w:name="_Hlk119585088"/>
            <w:bookmarkEnd w:id="119"/>
          </w:p>
        </w:tc>
      </w:tr>
      <w:tr>
        <w:trPr/>
        <w:tc>
          <w:tcPr>
            <w:tcW w:w="9637" w:type="dxa"/>
            <w:gridSpan w:val="4"/>
            <w:tcBorders>
              <w:top w:val="single" w:sz="4" w:space="0" w:color="000000"/>
              <w:left w:val="single" w:sz="4" w:space="0" w:color="000000"/>
              <w:bottom w:val="single" w:sz="4" w:space="0" w:color="000000"/>
              <w:right w:val="single" w:sz="4" w:space="0" w:color="000000"/>
            </w:tcBorders>
            <w:shd w:color="auto" w:fill="E0E0E0" w:val="clear"/>
            <w:vAlign w:val="center"/>
          </w:tcPr>
          <w:p>
            <w:pPr>
              <w:pStyle w:val="Normal"/>
              <w:spacing w:lineRule="auto" w:line="288"/>
              <w:rPr>
                <w:rFonts w:ascii="Aptos" w:hAnsi="Aptos" w:cs="Calibri" w:cstheme="minorHAnsi"/>
                <w:sz w:val="21"/>
                <w:szCs w:val="21"/>
                <w:lang w:val="ro-RO"/>
              </w:rPr>
            </w:pPr>
            <w:r>
              <w:rPr>
                <w:rFonts w:cs="Calibri" w:ascii="Aptos" w:hAnsi="Aptos" w:cstheme="minorHAnsi"/>
                <w:sz w:val="21"/>
                <w:szCs w:val="21"/>
                <w:lang w:val="ro-RO"/>
              </w:rPr>
              <w:t xml:space="preserve">Bibliografie seminar: </w:t>
            </w:r>
          </w:p>
          <w:p>
            <w:pPr>
              <w:pStyle w:val="Normal"/>
              <w:rPr>
                <w:rFonts w:ascii="Aptos" w:hAnsi="Aptos" w:cs="Calibri" w:cstheme="minorHAnsi"/>
                <w:sz w:val="21"/>
                <w:szCs w:val="21"/>
                <w:lang w:val="ro-RO"/>
              </w:rPr>
            </w:pPr>
            <w:bookmarkStart w:id="120" w:name="bkm_82_biblio_s"/>
            <w:r>
              <w:rPr>
                <w:rFonts w:cs="Calibri" w:ascii="Aptos" w:hAnsi="Aptos" w:cstheme="minorHAnsi"/>
                <w:sz w:val="21"/>
                <w:szCs w:val="21"/>
                <w:lang w:val="ro-RO"/>
              </w:rPr>
              <w:t>-</w:t>
            </w:r>
            <w:bookmarkEnd w:id="120"/>
            <w:r>
              <w:rPr>
                <w:rFonts w:cs="Calibri" w:ascii="Aptos" w:hAnsi="Aptos" w:cstheme="minorHAnsi"/>
                <w:sz w:val="21"/>
                <w:szCs w:val="21"/>
                <w:lang w:val="ro-RO"/>
              </w:rPr>
              <w:t xml:space="preserve"> and aceeasi ca pentru curs</w:t>
            </w:r>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jc w:val="both"/>
        <w:rPr>
          <w:rFonts w:ascii="Aptos" w:hAnsi="Aptos" w:cs="Calibri" w:cstheme="minorHAnsi"/>
          <w:b/>
          <w:bCs/>
          <w:sz w:val="21"/>
          <w:szCs w:val="21"/>
          <w:lang w:val="ro-RO"/>
        </w:rPr>
      </w:pPr>
      <w:r>
        <w:rPr>
          <w:rFonts w:cs="Calibri" w:ascii="Aptos" w:hAnsi="Aptos" w:cstheme="minorHAnsi"/>
          <w:b/>
          <w:bCs/>
          <w:sz w:val="21"/>
          <w:szCs w:val="21"/>
          <w:lang w:val="ro-RO"/>
        </w:rPr>
        <w:t>10. Coroborarea conţinuturilor disciplinei cu aşteptările reprezentanţilor comunităţii epistemice, asociaţiilor profesionale şi angajatorilor reprezentativi din domeniul aferent programului</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9638"/>
      </w:tblGrid>
      <w:tr>
        <w:trPr>
          <w:trHeight w:val="1107" w:hRule="atLeast"/>
        </w:trPr>
        <w:tc>
          <w:tcPr>
            <w:tcW w:w="96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88"/>
              <w:rPr>
                <w:rFonts w:ascii="Aptos" w:hAnsi="Aptos" w:cs="Calibri" w:cstheme="minorHAnsi"/>
                <w:sz w:val="21"/>
                <w:szCs w:val="21"/>
                <w:lang w:val="ro-RO"/>
              </w:rPr>
            </w:pPr>
            <w:bookmarkStart w:id="121" w:name="bkm_9_expectations"/>
            <w:r>
              <w:rPr>
                <w:rFonts w:cs="Calibri" w:ascii="Aptos" w:hAnsi="Aptos" w:cstheme="minorHAnsi"/>
                <w:sz w:val="21"/>
                <w:szCs w:val="21"/>
                <w:lang w:val="ro-RO"/>
              </w:rPr>
              <w:t xml:space="preserve">Cursul de Psihologia Adolescenților, Tinerilor și a Adulților contribuie la acumularea de cunoștințe și competențe necesare absolvirii Programul de formare psihopedagogică de nivel II (aprofundare). </w:t>
              <w:br/>
              <w:t xml:space="preserve"/>
              <w:br/>
              <w:t xml:space="preserve">Competențele dobândite la absolvirea acestui curs permit absolventului:</w:t>
              <w:br/>
              <w:t xml:space="preserve">-	fundamentarea științifică, sub aspect profesional, a învățării și formării ulterioare în cadrul profesiei didactice, respectiv a altor forme profesionale care vizează instrucția (mentorat, tutorat, coaching, etc.);</w:t>
              <w:br/>
              <w:t xml:space="preserve">-	o gestionare mai eficientă a vieții și productivității academice personale;</w:t>
              <w:br/>
              <w:t xml:space="preserve">-	înțelegerea și asumarea standardelor profesionale specifice pregătirii și activării în domeniul educațional (inclusiv a celor derivate din perceptele, îndrumările și reglementările Colegiului Psihologilor din România, Asociației Psihologilor Americani, European Association for International Education, European Educational Research Organization). </w:t>
              <w:br/>
              <w:t xml:space="preserve"/>
              <w:br/>
              <w:t xml:space="preserve">Cursul incorporează și ține cont de rezultatele cercetării fundamentale și aplicate în domeniul științelor învățării cât și de obiectivele, necesitățile și prioritățile educației din România (exprimate în documentele programatice și operaționale actuale).</w:t>
            </w:r>
            <w:bookmarkEnd w:id="121"/>
          </w:p>
          <w:p>
            <w:pPr>
              <w:pStyle w:val="Normal"/>
              <w:rPr>
                <w:rFonts w:ascii="Aptos" w:hAnsi="Aptos" w:cs="Calibri" w:cstheme="minorHAnsi"/>
                <w:sz w:val="21"/>
                <w:szCs w:val="21"/>
                <w:lang w:val="ro-RO"/>
              </w:rPr>
            </w:pPr>
            <w:r>
              <w:rPr>
                <w:rFonts w:cs="Calibri" w:cstheme="minorHAnsi" w:ascii="Aptos" w:hAnsi="Aptos"/>
                <w:sz w:val="21"/>
                <w:szCs w:val="21"/>
                <w:lang w:val="ro-RO"/>
              </w:rPr>
            </w:r>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shd w:val="clear" w:color="auto" w:fill="FFFFFF"/>
        <w:rPr>
          <w:rFonts w:ascii="Aptos" w:hAnsi="Aptos" w:cs="Calibri" w:cstheme="minorHAnsi"/>
          <w:b/>
          <w:bCs/>
          <w:sz w:val="21"/>
          <w:szCs w:val="21"/>
          <w:lang w:val="ro-RO"/>
        </w:rPr>
      </w:pPr>
      <w:r>
        <w:rPr>
          <w:rFonts w:cs="Calibri" w:ascii="Aptos" w:hAnsi="Aptos" w:cstheme="minorHAnsi"/>
          <w:b/>
          <w:bCs/>
          <w:sz w:val="21"/>
          <w:szCs w:val="21"/>
          <w:lang w:val="ro-RO"/>
        </w:rPr>
        <w:t>11. Evaluare</w:t>
      </w:r>
    </w:p>
    <w:tbl>
      <w:tblPr>
        <w:tblW w:w="5000" w:type="pct"/>
        <w:jc w:val="left"/>
        <w:tblInd w:w="0" w:type="dxa"/>
        <w:tblLayout w:type="fixed"/>
        <w:tblCellMar>
          <w:top w:w="0" w:type="dxa"/>
          <w:left w:w="40" w:type="dxa"/>
          <w:bottom w:w="0" w:type="dxa"/>
          <w:right w:w="40" w:type="dxa"/>
        </w:tblCellMar>
        <w:tblLook w:val="0000" w:noHBand="0" w:noVBand="0" w:firstColumn="0" w:lastRow="0" w:lastColumn="0" w:firstRow="0"/>
      </w:tblPr>
      <w:tblGrid>
        <w:gridCol w:w="2339"/>
        <w:gridCol w:w="3472"/>
        <w:gridCol w:w="2410"/>
        <w:gridCol w:w="1416"/>
      </w:tblGrid>
      <w:tr>
        <w:trPr>
          <w:trHeight w:val="528" w:hRule="atLeast"/>
        </w:trPr>
        <w:tc>
          <w:tcPr>
            <w:tcW w:w="23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Tip activitate</w:t>
            </w:r>
          </w:p>
        </w:tc>
        <w:tc>
          <w:tcPr>
            <w:tcW w:w="3472"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r>
              <w:rPr>
                <w:rFonts w:cs="Calibri" w:ascii="Aptos" w:hAnsi="Aptos" w:cstheme="minorHAnsi"/>
                <w:sz w:val="21"/>
                <w:szCs w:val="21"/>
                <w:lang w:val="ro-RO"/>
              </w:rPr>
              <w:t>11.1 Criterii de evaluare</w:t>
            </w:r>
          </w:p>
        </w:tc>
        <w:tc>
          <w:tcPr>
            <w:tcW w:w="2410"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11.2 Metode de evaluare</w:t>
            </w:r>
          </w:p>
        </w:tc>
        <w:tc>
          <w:tcPr>
            <w:tcW w:w="141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11.3 Pondere din nota finală</w:t>
            </w:r>
          </w:p>
        </w:tc>
      </w:tr>
      <w:tr>
        <w:trPr>
          <w:trHeight w:val="555" w:hRule="atLeast"/>
        </w:trPr>
        <w:tc>
          <w:tcPr>
            <w:tcW w:w="23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11.4 Curs</w:t>
            </w:r>
          </w:p>
          <w:p>
            <w:pPr>
              <w:pStyle w:val="Normal"/>
              <w:shd w:val="clear" w:color="auto" w:fill="FFFFFF"/>
              <w:rPr>
                <w:rFonts w:ascii="Aptos" w:hAnsi="Aptos" w:cs="Calibri" w:cstheme="minorHAnsi"/>
                <w:sz w:val="21"/>
                <w:szCs w:val="21"/>
                <w:lang w:val="ro-RO"/>
              </w:rPr>
            </w:pPr>
            <w:r>
              <w:rPr>
                <w:rFonts w:cs="Calibri" w:cstheme="minorHAnsi" w:ascii="Aptos" w:hAnsi="Aptos"/>
                <w:sz w:val="21"/>
                <w:szCs w:val="21"/>
                <w:lang w:val="ro-RO"/>
              </w:rPr>
            </w:r>
          </w:p>
        </w:tc>
        <w:tc>
          <w:tcPr>
            <w:tcW w:w="3472"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sz w:val="21"/>
                <w:szCs w:val="21"/>
                <w:lang w:val="ro-RO"/>
              </w:rPr>
            </w:pPr>
            <w:bookmarkStart w:id="122" w:name="bkm_101_assess_crt_c"/>
            <w:r>
              <w:rPr>
                <w:rFonts w:cs="Calibri" w:ascii="Aptos" w:hAnsi="Aptos" w:cstheme="minorHAnsi"/>
                <w:sz w:val="21"/>
                <w:szCs w:val="21"/>
                <w:lang w:val="ro-RO"/>
              </w:rPr>
              <w:t>Rezolvarea de probleme și răspunsuri pentru subiectele specific disciplinei (criteriile de evaluare vor include corectitudinea, completitudinea, concizia, fluența și claritatea rezolvării probelor de evaluare).</w:t>
            </w:r>
            <w:bookmarkEnd w:id="122"/>
          </w:p>
        </w:tc>
        <w:tc>
          <w:tcPr>
            <w:tcW w:w="2410" w:type="dxa"/>
            <w:tcBorders>
              <w:top w:val="single" w:sz="4" w:space="0" w:color="000000"/>
              <w:left w:val="single" w:sz="4" w:space="0" w:color="000000"/>
              <w:bottom w:val="single" w:sz="4" w:space="0" w:color="000000"/>
              <w:right w:val="single" w:sz="4" w:space="0" w:color="000000"/>
            </w:tcBorders>
            <w:shd w:color="auto" w:fill="FFFFFF" w:val="clear"/>
          </w:tcPr>
          <w:p>
            <w:pPr>
              <w:pStyle w:val="Normal"/>
              <w:rPr>
                <w:rFonts w:ascii="Aptos" w:hAnsi="Aptos" w:cs="Calibri" w:cstheme="minorHAnsi"/>
                <w:sz w:val="21"/>
                <w:szCs w:val="21"/>
                <w:lang w:val="ro-RO"/>
              </w:rPr>
            </w:pPr>
            <w:bookmarkStart w:id="123" w:name="bkm_102_assess_met_c"/>
            <w:r>
              <w:rPr>
                <w:rFonts w:cs="Calibri" w:ascii="Aptos" w:hAnsi="Aptos" w:cstheme="minorHAnsi"/>
                <w:sz w:val="21"/>
                <w:szCs w:val="21"/>
                <w:lang w:val="ro-RO"/>
              </w:rPr>
              <w:t>Probe si sarcini scrise (e.g., teste grila, probe de analiza critica, structurate si/sau nestructurate).</w:t>
            </w:r>
            <w:bookmarkEnd w:id="123"/>
          </w:p>
        </w:tc>
        <w:tc>
          <w:tcPr>
            <w:tcW w:w="141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124" w:name="bkm_103_wght_grade_c"/>
            <w:r>
              <w:rPr>
                <w:rFonts w:cs="Calibri" w:ascii="Aptos" w:hAnsi="Aptos" w:cstheme="minorHAnsi"/>
                <w:sz w:val="21"/>
                <w:szCs w:val="21"/>
                <w:lang w:val="ro-RO"/>
              </w:rPr>
              <w:t>50%</w:t>
            </w:r>
            <w:bookmarkEnd w:id="124"/>
          </w:p>
        </w:tc>
      </w:tr>
      <w:tr>
        <w:trPr>
          <w:trHeight w:val="565" w:hRule="atLeast"/>
        </w:trPr>
        <w:tc>
          <w:tcPr>
            <w:tcW w:w="2339"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11.5 Seminar/Laborator /Proiect</w:t>
            </w:r>
          </w:p>
        </w:tc>
        <w:tc>
          <w:tcPr>
            <w:tcW w:w="3472" w:type="dxa"/>
            <w:tcBorders>
              <w:top w:val="single" w:sz="4" w:space="0" w:color="000000"/>
              <w:left w:val="single" w:sz="4" w:space="0" w:color="000000"/>
              <w:bottom w:val="single" w:sz="4" w:space="0" w:color="000000"/>
              <w:right w:val="single" w:sz="4" w:space="0" w:color="000000"/>
            </w:tcBorders>
            <w:shd w:color="auto" w:fill="E0E0E0" w:val="clear"/>
          </w:tcPr>
          <w:p>
            <w:pPr>
              <w:pStyle w:val="Normal"/>
              <w:rPr>
                <w:rFonts w:ascii="Aptos" w:hAnsi="Aptos" w:cs="Calibri" w:cstheme="minorHAnsi"/>
                <w:b/>
                <w:bCs/>
                <w:sz w:val="21"/>
                <w:szCs w:val="21"/>
                <w:lang w:val="ro-RO"/>
              </w:rPr>
            </w:pPr>
            <w:bookmarkStart w:id="125" w:name="bkm_101_assess_crt_a"/>
            <w:r>
              <w:rPr>
                <w:rFonts w:cs="Calibri" w:ascii="Aptos" w:hAnsi="Aptos" w:cstheme="minorHAnsi"/>
                <w:sz w:val="21"/>
                <w:szCs w:val="21"/>
                <w:lang w:val="ro-RO"/>
              </w:rPr>
              <w:t>Rezolvarea de probleme și răspunsuri pentru subiectele specific disciplinei (criteriile de evaluare vor include capacitatea de colaborare intercolegiala, corectitudinea, completitudinea, concizia, fluența și claritatea rezolvării probelor de evaluare).</w:t>
            </w:r>
            <w:bookmarkEnd w:id="125"/>
          </w:p>
        </w:tc>
        <w:tc>
          <w:tcPr>
            <w:tcW w:w="2410"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rPr>
                <w:rFonts w:ascii="Aptos" w:hAnsi="Aptos" w:cs="Calibri" w:cstheme="minorHAnsi"/>
                <w:sz w:val="21"/>
                <w:szCs w:val="21"/>
                <w:lang w:val="ro-RO"/>
              </w:rPr>
            </w:pPr>
            <w:bookmarkStart w:id="126" w:name="bkm_assess_met_a"/>
            <w:r>
              <w:rPr>
                <w:rFonts w:cs="Calibri" w:ascii="Aptos" w:hAnsi="Aptos" w:cstheme="minorHAnsi"/>
                <w:sz w:val="21"/>
                <w:szCs w:val="21"/>
                <w:lang w:val="ro-RO"/>
              </w:rPr>
              <w:t>Portofoliu constituit pe baza de proiecte individuale si/sau de echipa/colaborative (selectie de repere).</w:t>
            </w:r>
            <w:bookmarkEnd w:id="126"/>
          </w:p>
        </w:tc>
        <w:tc>
          <w:tcPr>
            <w:tcW w:w="1416" w:type="dxa"/>
            <w:tcBorders>
              <w:top w:val="single" w:sz="4" w:space="0" w:color="000000"/>
              <w:left w:val="single" w:sz="4" w:space="0" w:color="000000"/>
              <w:bottom w:val="single" w:sz="4" w:space="0" w:color="000000"/>
              <w:right w:val="single" w:sz="4" w:space="0" w:color="000000"/>
            </w:tcBorders>
            <w:shd w:color="auto" w:fill="FFFFFF" w:val="clear"/>
          </w:tcPr>
          <w:p>
            <w:pPr>
              <w:pStyle w:val="Normal"/>
              <w:shd w:val="clear" w:color="auto" w:fill="FFFFFF"/>
              <w:jc w:val="center"/>
              <w:rPr>
                <w:rFonts w:ascii="Aptos" w:hAnsi="Aptos" w:cs="Calibri" w:cstheme="minorHAnsi"/>
                <w:sz w:val="21"/>
                <w:szCs w:val="21"/>
                <w:lang w:val="ro-RO"/>
              </w:rPr>
            </w:pPr>
            <w:bookmarkStart w:id="127" w:name="bkm_103_wght_grade_a"/>
            <w:r>
              <w:rPr>
                <w:rFonts w:cs="Calibri" w:ascii="Aptos" w:hAnsi="Aptos" w:cstheme="minorHAnsi"/>
                <w:sz w:val="21"/>
                <w:szCs w:val="21"/>
                <w:lang w:val="ro-RO"/>
              </w:rPr>
              <w:t>50%</w:t>
            </w:r>
            <w:bookmarkEnd w:id="127"/>
          </w:p>
        </w:tc>
      </w:tr>
      <w:tr>
        <w:trPr>
          <w:trHeight w:val="264" w:hRule="atLeast"/>
        </w:trPr>
        <w:tc>
          <w:tcPr>
            <w:tcW w:w="9637" w:type="dxa"/>
            <w:gridSpan w:val="4"/>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hd w:val="clear" w:color="auto" w:fill="FFFFFF"/>
              <w:rPr>
                <w:rFonts w:ascii="Aptos" w:hAnsi="Aptos" w:cs="Calibri" w:cstheme="minorHAnsi"/>
                <w:sz w:val="21"/>
                <w:szCs w:val="21"/>
                <w:lang w:val="ro-RO"/>
              </w:rPr>
            </w:pPr>
            <w:r>
              <w:rPr>
                <w:rFonts w:cs="Calibri" w:ascii="Aptos" w:hAnsi="Aptos" w:cstheme="minorHAnsi"/>
                <w:sz w:val="21"/>
                <w:szCs w:val="21"/>
                <w:lang w:val="ro-RO"/>
              </w:rPr>
              <w:t>11.6 Standard minim de performanţă</w:t>
            </w:r>
          </w:p>
          <w:p>
            <w:pPr>
              <w:pStyle w:val="Normal"/>
              <w:shd w:val="clear" w:color="auto" w:fill="FFFFFF"/>
              <w:rPr>
                <w:rFonts w:ascii="Aptos" w:hAnsi="Aptos" w:cs="Calibri" w:cstheme="minorHAnsi"/>
                <w:sz w:val="21"/>
                <w:szCs w:val="21"/>
                <w:lang w:val="ro-RO"/>
              </w:rPr>
            </w:pPr>
            <w:bookmarkStart w:id="128" w:name="bkm_106_minimum_std"/>
            <w:r>
              <w:rPr>
                <w:rFonts w:cs="Calibri" w:ascii="Aptos" w:hAnsi="Aptos" w:cstheme="minorHAnsi"/>
                <w:sz w:val="21"/>
                <w:szCs w:val="21"/>
                <w:lang w:val="ro-RO"/>
              </w:rPr>
              <w:t xml:space="preserve">Scorul total ponderat depaseste echivalentul a 5/10 din nota finala. </w:t>
              <w:br/>
              <w:t xml:space="preserve">Fiecare sarcina alocata primeste cel putin 50% din punctajul aferent.</w:t>
            </w:r>
            <w:bookmarkEnd w:id="128"/>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tbl>
      <w:tblPr>
        <w:tblStyle w:val="TableGrid1"/>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875"/>
        <w:gridCol w:w="1596"/>
        <w:gridCol w:w="4327"/>
        <w:gridCol w:w="1839"/>
      </w:tblGrid>
      <w:tr>
        <w:trPr/>
        <w:tc>
          <w:tcPr>
            <w:tcW w:w="1875" w:type="dxa"/>
            <w:tcBorders>
              <w:bottom w:val="nil"/>
              <w:right w:val="nil"/>
            </w:tcBorders>
          </w:tcPr>
          <w:p>
            <w:pPr>
              <w:pStyle w:val="Normal"/>
              <w:keepNext w:val="true"/>
              <w:keepLines/>
              <w:widowControl/>
              <w:spacing w:before="0" w:after="0"/>
              <w:jc w:val="left"/>
              <w:rPr>
                <w:rFonts w:ascii="Aptos" w:hAnsi="Aptos" w:cs="Calibri" w:cstheme="minorHAnsi"/>
                <w:b/>
                <w:sz w:val="21"/>
                <w:szCs w:val="21"/>
                <w:lang w:val="ro-RO" w:eastAsia="en-US"/>
              </w:rPr>
            </w:pPr>
            <w:r>
              <w:rPr>
                <w:rFonts w:cs="Calibri" w:ascii="Aptos" w:hAnsi="Aptos" w:cstheme="minorHAnsi"/>
                <w:b/>
                <w:kern w:val="0"/>
                <w:sz w:val="21"/>
                <w:szCs w:val="21"/>
                <w:lang w:val="ro-RO" w:eastAsia="en-US" w:bidi="ar-SA"/>
              </w:rPr>
              <w:t>Data completării:</w:t>
            </w:r>
          </w:p>
        </w:tc>
        <w:tc>
          <w:tcPr>
            <w:tcW w:w="1596" w:type="dxa"/>
            <w:tcBorders>
              <w:left w:val="nil"/>
              <w:bottom w:val="nil"/>
              <w:right w:val="nil"/>
            </w:tcBorders>
          </w:tcPr>
          <w:p>
            <w:pPr>
              <w:pStyle w:val="Normal"/>
              <w:keepNext w:val="true"/>
              <w:keepLines/>
              <w:widowControl/>
              <w:spacing w:before="0" w:after="0"/>
              <w:jc w:val="left"/>
              <w:rPr>
                <w:rFonts w:ascii="Aptos" w:hAnsi="Aptos" w:cs="Calibri" w:cstheme="minorHAnsi"/>
                <w:b/>
                <w:sz w:val="21"/>
                <w:szCs w:val="21"/>
                <w:lang w:val="ro-RO" w:eastAsia="en-US"/>
              </w:rPr>
            </w:pPr>
            <w:r>
              <w:rPr>
                <w:rFonts w:cs="Calibri" w:ascii="Aptos" w:hAnsi="Aptos" w:cstheme="minorHAnsi"/>
                <w:b/>
                <w:kern w:val="0"/>
                <w:sz w:val="21"/>
                <w:szCs w:val="21"/>
                <w:lang w:val="ro-RO" w:eastAsia="en-US" w:bidi="ar-SA"/>
              </w:rPr>
              <w:t>Titulari</w:t>
            </w:r>
          </w:p>
        </w:tc>
        <w:tc>
          <w:tcPr>
            <w:tcW w:w="4327" w:type="dxa"/>
            <w:tcBorders>
              <w:left w:val="nil"/>
              <w:bottom w:val="nil"/>
              <w:right w:val="nil"/>
            </w:tcBorders>
          </w:tcPr>
          <w:p>
            <w:pPr>
              <w:pStyle w:val="Normal"/>
              <w:keepNext w:val="true"/>
              <w:keepLines/>
              <w:widowControl/>
              <w:spacing w:before="0" w:after="0"/>
              <w:jc w:val="left"/>
              <w:rPr>
                <w:rFonts w:ascii="Aptos" w:hAnsi="Aptos" w:cs="Calibri" w:cstheme="minorHAnsi"/>
                <w:b/>
                <w:sz w:val="21"/>
                <w:szCs w:val="21"/>
                <w:lang w:val="ro-RO" w:eastAsia="en-US"/>
              </w:rPr>
            </w:pPr>
            <w:r>
              <w:rPr>
                <w:rFonts w:cs="Calibri" w:ascii="Aptos" w:hAnsi="Aptos" w:cstheme="minorHAnsi"/>
                <w:b/>
                <w:kern w:val="0"/>
                <w:sz w:val="21"/>
                <w:szCs w:val="21"/>
                <w:lang w:val="ro-RO" w:eastAsia="en-US" w:bidi="ar-SA"/>
              </w:rPr>
              <w:t>Titlu Prenume NUME</w:t>
            </w:r>
          </w:p>
        </w:tc>
        <w:tc>
          <w:tcPr>
            <w:tcW w:w="1839" w:type="dxa"/>
            <w:tcBorders>
              <w:left w:val="nil"/>
              <w:bottom w:val="nil"/>
            </w:tcBorders>
            <w:vAlign w:val="center"/>
          </w:tcPr>
          <w:p>
            <w:pPr>
              <w:pStyle w:val="Normal"/>
              <w:keepNext w:val="true"/>
              <w:keepLines/>
              <w:widowControl/>
              <w:spacing w:before="0" w:after="0"/>
              <w:jc w:val="center"/>
              <w:rPr>
                <w:rFonts w:ascii="Aptos" w:hAnsi="Aptos" w:cs="Calibri" w:cstheme="minorHAnsi"/>
                <w:b/>
                <w:sz w:val="21"/>
                <w:szCs w:val="21"/>
                <w:lang w:val="ro-RO" w:eastAsia="en-US"/>
              </w:rPr>
            </w:pPr>
            <w:r>
              <w:rPr>
                <w:rFonts w:cs="Calibri" w:ascii="Aptos" w:hAnsi="Aptos" w:cstheme="minorHAnsi"/>
                <w:b/>
                <w:kern w:val="0"/>
                <w:sz w:val="21"/>
                <w:szCs w:val="21"/>
                <w:lang w:val="ro-RO" w:eastAsia="en-US" w:bidi="ar-SA"/>
              </w:rPr>
              <w:t>Semnătura</w:t>
            </w:r>
          </w:p>
        </w:tc>
      </w:tr>
      <w:tr>
        <w:trPr>
          <w:trHeight w:val="397" w:hRule="atLeast"/>
        </w:trPr>
        <w:tc>
          <w:tcPr>
            <w:tcW w:w="1875" w:type="dxa"/>
            <w:tcBorders>
              <w:top w:val="nil"/>
              <w:bottom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bookmarkStart w:id="129" w:name="bkm_date_complete"/>
            <w:r>
              <w:rPr>
                <w:rFonts w:cs="Calibri" w:ascii="Aptos" w:hAnsi="Aptos" w:cstheme="minorHAnsi"/>
                <w:kern w:val="0"/>
                <w:sz w:val="21"/>
                <w:szCs w:val="21"/>
                <w:lang w:val="ro-RO" w:bidi="ar-SA"/>
              </w:rPr>
              <w:t>17.05.2026</w:t>
            </w:r>
            <w:bookmarkEnd w:id="129"/>
          </w:p>
        </w:tc>
        <w:tc>
          <w:tcPr>
            <w:tcW w:w="1596" w:type="dxa"/>
            <w:tcBorders>
              <w:top w:val="nil"/>
              <w:left w:val="nil"/>
              <w:bottom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Curs</w:t>
            </w:r>
          </w:p>
        </w:tc>
        <w:tc>
          <w:tcPr>
            <w:tcW w:w="4327" w:type="dxa"/>
            <w:tcBorders>
              <w:top w:val="nil"/>
              <w:left w:val="nil"/>
              <w:bottom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bookmarkStart w:id="130" w:name="bkm_owner_title2"/>
            <w:r>
              <w:rPr>
                <w:rFonts w:cs="Calibri" w:ascii="Aptos" w:hAnsi="Aptos" w:cstheme="minorHAnsi"/>
                <w:kern w:val="0"/>
                <w:sz w:val="21"/>
                <w:szCs w:val="21"/>
                <w:lang w:val="ro-RO" w:bidi="ar-SA"/>
              </w:rPr>
              <w:t>conf. dr. psih.</w:t>
            </w:r>
            <w:bookmarkEnd w:id="130"/>
            <w:r>
              <w:rPr>
                <w:rFonts w:cs="Calibri" w:ascii="Aptos" w:hAnsi="Aptos" w:cstheme="minorHAnsi"/>
                <w:kern w:val="0"/>
                <w:sz w:val="21"/>
                <w:szCs w:val="21"/>
                <w:lang w:val="ro-RO" w:bidi="ar-SA"/>
              </w:rPr>
              <w:t xml:space="preserve"> </w:t>
            </w:r>
            <w:bookmarkStart w:id="131" w:name="bkm_owner_name2"/>
            <w:r>
              <w:rPr>
                <w:rFonts w:cs="Calibri" w:ascii="Aptos" w:hAnsi="Aptos" w:cstheme="minorHAnsi"/>
                <w:kern w:val="0"/>
                <w:sz w:val="21"/>
                <w:szCs w:val="21"/>
                <w:lang w:val="ro-RO" w:bidi="ar-SA"/>
              </w:rPr>
              <w:t>Ionut-Dorin Stanciu</w:t>
            </w:r>
            <w:bookmarkEnd w:id="131"/>
          </w:p>
        </w:tc>
        <w:tc>
          <w:tcPr>
            <w:tcW w:w="1839" w:type="dxa"/>
            <w:tcBorders>
              <w:top w:val="nil"/>
              <w:left w:val="nil"/>
              <w:bottom w:val="nil"/>
            </w:tcBorders>
            <w:vAlign w:val="center"/>
          </w:tcPr>
          <w:p>
            <w:pPr>
              <w:pStyle w:val="Normal"/>
              <w:keepNext w:val="true"/>
              <w:keepLines/>
              <w:widowControl/>
              <w:spacing w:before="0" w:after="0"/>
              <w:jc w:val="left"/>
              <w:rPr>
                <w:rFonts w:ascii="Aptos" w:hAnsi="Aptos" w:cs="Calibri" w:cstheme="minorHAnsi"/>
                <w:sz w:val="21"/>
                <w:szCs w:val="21"/>
                <w:lang w:val="ro-RO" w:eastAsia="en-US"/>
              </w:rPr>
            </w:pPr>
            <w:bookmarkStart w:id="132" w:name="bkm_owner_sign"/>
            <w:r>
              <w:rPr>
                <w:rFonts w:cs="Calibri" w:ascii="Aptos" w:hAnsi="Aptos" w:cstheme="minorHAnsi"/>
                <w:kern w:val="0"/>
                <w:sz w:val="21"/>
                <w:szCs w:val="21"/>
                <w:lang w:val="ro-RO" w:bidi="ar-SA"/>
              </w:rPr>
              <w:t>-</w:t>
            </w:r>
            <w:bookmarkEnd w:id="132"/>
          </w:p>
        </w:tc>
      </w:tr>
      <w:tr>
        <w:trPr>
          <w:trHeight w:val="328" w:hRule="atLeast"/>
        </w:trPr>
        <w:tc>
          <w:tcPr>
            <w:tcW w:w="1875" w:type="dxa"/>
            <w:tcBorders>
              <w:top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tc>
        <w:tc>
          <w:tcPr>
            <w:tcW w:w="1596" w:type="dxa"/>
            <w:tcBorders>
              <w:top w:val="nil"/>
              <w:left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Aplicații</w:t>
            </w:r>
          </w:p>
        </w:tc>
        <w:tc>
          <w:tcPr>
            <w:tcW w:w="4327" w:type="dxa"/>
            <w:tcBorders>
              <w:top w:val="nil"/>
              <w:left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bookmarkStart w:id="133" w:name="bkm_assist_title2"/>
            <w:r>
              <w:rPr>
                <w:rFonts w:cs="Calibri" w:ascii="Aptos" w:hAnsi="Aptos" w:cstheme="minorHAnsi"/>
                <w:kern w:val="0"/>
                <w:sz w:val="21"/>
                <w:szCs w:val="21"/>
                <w:lang w:val="ro-RO" w:bidi="ar-SA"/>
              </w:rPr>
              <w:t>conf. dr. psih.</w:t>
            </w:r>
            <w:bookmarkEnd w:id="133"/>
            <w:r>
              <w:rPr>
                <w:rFonts w:cs="Calibri" w:ascii="Aptos" w:hAnsi="Aptos" w:cstheme="minorHAnsi"/>
                <w:kern w:val="0"/>
                <w:sz w:val="21"/>
                <w:szCs w:val="21"/>
                <w:lang w:val="ro-RO" w:bidi="ar-SA"/>
              </w:rPr>
              <w:t xml:space="preserve"> </w:t>
            </w:r>
            <w:bookmarkStart w:id="134" w:name="bkm_assist_name2"/>
            <w:r>
              <w:rPr>
                <w:rFonts w:cs="Calibri" w:ascii="Aptos" w:hAnsi="Aptos" w:cstheme="minorHAnsi"/>
                <w:kern w:val="0"/>
                <w:sz w:val="21"/>
                <w:szCs w:val="21"/>
                <w:lang w:val="ro-RO" w:bidi="ar-SA"/>
              </w:rPr>
              <w:t>Ionut-Dorin Stanciu</w:t>
            </w:r>
            <w:bookmarkEnd w:id="134"/>
          </w:p>
        </w:tc>
        <w:tc>
          <w:tcPr>
            <w:tcW w:w="1839" w:type="dxa"/>
            <w:tcBorders>
              <w:top w:val="nil"/>
              <w:left w:val="nil"/>
            </w:tcBorders>
            <w:vAlign w:val="center"/>
          </w:tcPr>
          <w:p>
            <w:pPr>
              <w:pStyle w:val="Normal"/>
              <w:keepNext w:val="true"/>
              <w:keepLines/>
              <w:widowControl/>
              <w:spacing w:before="0" w:after="0"/>
              <w:jc w:val="left"/>
              <w:rPr>
                <w:rFonts w:ascii="Aptos" w:hAnsi="Aptos" w:cs="Calibri" w:cstheme="minorHAnsi"/>
                <w:sz w:val="21"/>
                <w:szCs w:val="21"/>
                <w:lang w:val="ro-RO" w:eastAsia="en-US"/>
              </w:rPr>
            </w:pPr>
            <w:bookmarkStart w:id="135" w:name="bkm_assist_sign"/>
            <w:r>
              <w:rPr>
                <w:rFonts w:cs="Calibri" w:ascii="Aptos" w:hAnsi="Aptos" w:cstheme="minorHAnsi"/>
                <w:kern w:val="0"/>
                <w:sz w:val="21"/>
                <w:szCs w:val="21"/>
                <w:lang w:val="ro-RO" w:bidi="ar-SA"/>
              </w:rPr>
              <w:t>-</w:t>
            </w:r>
            <w:bookmarkStart w:id="136" w:name="_Hlk113959550"/>
            <w:bookmarkEnd w:id="135"/>
            <w:bookmarkEnd w:id="136"/>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p>
      <w:pPr>
        <w:pStyle w:val="Normal"/>
        <w:rPr>
          <w:rFonts w:ascii="Aptos" w:hAnsi="Aptos" w:cs="Calibri" w:cstheme="minorHAnsi"/>
          <w:sz w:val="21"/>
          <w:szCs w:val="21"/>
          <w:lang w:val="ro-RO"/>
        </w:rPr>
      </w:pPr>
      <w:r>
        <w:rPr>
          <w:rFonts w:cs="Calibri" w:cstheme="minorHAnsi" w:ascii="Aptos" w:hAnsi="Aptos"/>
          <w:sz w:val="21"/>
          <w:szCs w:val="21"/>
          <w:lang w:val="ro-RO"/>
        </w:rPr>
      </w:r>
    </w:p>
    <w:tbl>
      <w:tblPr>
        <w:tblStyle w:val="TableGrid2"/>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5670"/>
        <w:gridCol w:w="3967"/>
      </w:tblGrid>
      <w:tr>
        <w:trPr/>
        <w:tc>
          <w:tcPr>
            <w:tcW w:w="5670" w:type="dxa"/>
            <w:tcBorders>
              <w:bottom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Data avizării în Consiliul Departamentului ……..</w:t>
            </w:r>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eastAsia="Calibri" w:cs="Calibri" w:cstheme="minorHAnsi"/>
                <w:sz w:val="21"/>
                <w:szCs w:val="21"/>
                <w:lang w:val="ro-RO"/>
              </w:rPr>
            </w:pPr>
            <w:bookmarkStart w:id="137" w:name="bkm_date_approve_dep"/>
            <w:r>
              <w:rPr>
                <w:rFonts w:cs="Calibri" w:ascii="Aptos" w:hAnsi="Aptos" w:cstheme="minorHAnsi"/>
                <w:kern w:val="0"/>
                <w:sz w:val="21"/>
                <w:szCs w:val="21"/>
                <w:lang w:val="ro-RO" w:bidi="ar-SA"/>
              </w:rPr>
              <w:t>-</w:t>
            </w:r>
            <w:bookmarkEnd w:id="137"/>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bookmarkStart w:id="138" w:name="OLE_LINK28"/>
            <w:bookmarkStart w:id="139" w:name="OLE_LINK27"/>
            <w:bookmarkStart w:id="140" w:name="OLE_LINK28"/>
            <w:bookmarkStart w:id="141" w:name="OLE_LINK27"/>
          </w:p>
          <w:p>
            <w:pPr>
              <w:pStyle w:val="Normal"/>
              <w:keepNext w:val="true"/>
              <w:keepLines/>
              <w:widowControl/>
              <w:spacing w:before="0" w:after="0"/>
              <w:jc w:val="left"/>
              <w:rPr>
                <w:rFonts w:ascii="Aptos" w:hAnsi="Aptos" w:cs="Calibri" w:cstheme="minorHAnsi"/>
                <w:sz w:val="21"/>
                <w:szCs w:val="21"/>
                <w:lang w:val="ro-RO" w:eastAsia="en-US"/>
              </w:rPr>
            </w:pPr>
            <w:bookmarkStart w:id="142" w:name="OLE_LINK28"/>
            <w:bookmarkStart w:id="143" w:name="OLE_LINK27"/>
            <w:r>
              <w:rPr>
                <w:rFonts w:cs="Calibri" w:ascii="Aptos" w:hAnsi="Aptos" w:cstheme="minorHAnsi"/>
                <w:kern w:val="0"/>
                <w:sz w:val="21"/>
                <w:szCs w:val="21"/>
                <w:lang w:val="ro-RO" w:eastAsia="en-US" w:bidi="ar-SA"/>
              </w:rPr>
              <w:t>_______________________</w:t>
            </w:r>
            <w:bookmarkEnd w:id="142"/>
            <w:bookmarkEnd w:id="143"/>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tc>
        <w:tc>
          <w:tcPr>
            <w:tcW w:w="3967" w:type="dxa"/>
            <w:tcBorders>
              <w:left w:val="nil"/>
              <w:bottom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 xml:space="preserve">Director Departament </w:t>
            </w:r>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rPr>
            </w:pPr>
            <w:bookmarkStart w:id="144" w:name="bkm_director_title"/>
            <w:r>
              <w:rPr>
                <w:rFonts w:cs="Calibri" w:ascii="Aptos" w:hAnsi="Aptos" w:cstheme="minorHAnsi"/>
                <w:kern w:val="0"/>
                <w:sz w:val="21"/>
                <w:szCs w:val="21"/>
                <w:lang w:val="ro-RO" w:bidi="ar-SA"/>
              </w:rPr>
              <w:t>Conf. dr. ing.</w:t>
            </w:r>
            <w:bookmarkEnd w:id="144"/>
            <w:r>
              <w:rPr>
                <w:rFonts w:cs="Calibri" w:ascii="Aptos" w:hAnsi="Aptos" w:cstheme="minorHAnsi"/>
                <w:kern w:val="0"/>
                <w:sz w:val="21"/>
                <w:szCs w:val="21"/>
                <w:lang w:val="ro-RO" w:bidi="ar-SA"/>
              </w:rPr>
              <w:t xml:space="preserve"> </w:t>
            </w:r>
            <w:bookmarkStart w:id="145" w:name="bkm_director_name"/>
            <w:r>
              <w:rPr>
                <w:rFonts w:cs="Calibri" w:ascii="Aptos" w:hAnsi="Aptos" w:cstheme="minorHAnsi"/>
                <w:kern w:val="0"/>
                <w:sz w:val="21"/>
                <w:szCs w:val="21"/>
                <w:lang w:val="ro-RO" w:bidi="ar-SA"/>
              </w:rPr>
              <w:t>Mihai Liviu Dragomir</w:t>
            </w:r>
            <w:bookmarkEnd w:id="145"/>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_______________________</w:t>
            </w:r>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tc>
      </w:tr>
      <w:tr>
        <w:trPr/>
        <w:tc>
          <w:tcPr>
            <w:tcW w:w="5670" w:type="dxa"/>
            <w:tcBorders>
              <w:top w:val="nil"/>
              <w:righ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Data aprobării în Consiliul Facultății ……………</w:t>
            </w:r>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eastAsia="Calibri" w:cs="Calibri" w:cstheme="minorHAnsi"/>
                <w:sz w:val="21"/>
                <w:szCs w:val="21"/>
                <w:lang w:val="ro-RO"/>
              </w:rPr>
            </w:pPr>
            <w:bookmarkStart w:id="146" w:name="bkm_date_approve_fac"/>
            <w:r>
              <w:rPr>
                <w:rFonts w:cs="Calibri" w:ascii="Aptos" w:hAnsi="Aptos" w:cstheme="minorHAnsi"/>
                <w:kern w:val="0"/>
                <w:sz w:val="21"/>
                <w:szCs w:val="21"/>
                <w:lang w:val="ro-RO" w:bidi="ar-SA"/>
              </w:rPr>
              <w:t>-</w:t>
            </w:r>
            <w:bookmarkEnd w:id="146"/>
          </w:p>
          <w:p>
            <w:pPr>
              <w:pStyle w:val="Normal"/>
              <w:keepNext w:val="true"/>
              <w:keepLines/>
              <w:widowControl/>
              <w:spacing w:before="0" w:after="0"/>
              <w:jc w:val="center"/>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eastAsia="en-US"/>
              </w:rPr>
            </w:pPr>
            <w:bookmarkStart w:id="147" w:name="OLE_LINK30"/>
            <w:bookmarkStart w:id="148" w:name="OLE_LINK29"/>
            <w:r>
              <w:rPr>
                <w:rFonts w:cs="Calibri" w:ascii="Aptos" w:hAnsi="Aptos" w:cstheme="minorHAnsi"/>
                <w:kern w:val="0"/>
                <w:sz w:val="21"/>
                <w:szCs w:val="21"/>
                <w:lang w:val="ro-RO" w:eastAsia="en-US" w:bidi="ar-SA"/>
              </w:rPr>
              <w:t>_______________________</w:t>
            </w:r>
            <w:bookmarkEnd w:id="147"/>
            <w:bookmarkEnd w:id="148"/>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tc>
        <w:tc>
          <w:tcPr>
            <w:tcW w:w="3967" w:type="dxa"/>
            <w:tcBorders>
              <w:top w:val="nil"/>
              <w:left w:val="nil"/>
            </w:tcBorders>
          </w:tcPr>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Decan</w:t>
            </w:r>
          </w:p>
          <w:p>
            <w:pPr>
              <w:pStyle w:val="Normal"/>
              <w:keepNext w:val="true"/>
              <w:keepLines/>
              <w:widowControl/>
              <w:spacing w:before="0" w:after="0"/>
              <w:jc w:val="left"/>
              <w:rPr>
                <w:rFonts w:ascii="Aptos" w:hAnsi="Aptos" w:cs="Calibri" w:cstheme="minorHAnsi"/>
                <w:sz w:val="21"/>
                <w:szCs w:val="21"/>
                <w:lang w:val="ro-RO"/>
              </w:rPr>
            </w:pPr>
            <w:r>
              <w:rPr>
                <w:rFonts w:cs="Calibri" w:ascii="Aptos" w:hAnsi="Aptos" w:cstheme="minorHAnsi"/>
                <w:kern w:val="0"/>
                <w:sz w:val="21"/>
                <w:szCs w:val="21"/>
                <w:lang w:val="ro-RO" w:eastAsia="en-US" w:bidi="ar-SA"/>
              </w:rPr>
              <w:br/>
            </w:r>
            <w:bookmarkStart w:id="149" w:name="OLE_LINK34"/>
            <w:bookmarkStart w:id="150" w:name="OLE_LINK33"/>
            <w:bookmarkStart w:id="151" w:name="bkm_dean_title"/>
            <w:r>
              <w:rPr>
                <w:rFonts w:cs="Calibri" w:ascii="Aptos" w:hAnsi="Aptos" w:cstheme="minorHAnsi"/>
                <w:kern w:val="0"/>
                <w:sz w:val="21"/>
                <w:szCs w:val="21"/>
                <w:lang w:val="ro-RO" w:bidi="ar-SA"/>
              </w:rPr>
              <w:t>Prof. dr. ing.</w:t>
            </w:r>
            <w:bookmarkEnd w:id="151"/>
            <w:r>
              <w:rPr>
                <w:rFonts w:cs="Calibri" w:ascii="Aptos" w:hAnsi="Aptos" w:cstheme="minorHAnsi"/>
                <w:kern w:val="0"/>
                <w:sz w:val="21"/>
                <w:szCs w:val="21"/>
                <w:lang w:val="ro-RO" w:bidi="ar-SA"/>
              </w:rPr>
              <w:t xml:space="preserve"> </w:t>
            </w:r>
            <w:bookmarkStart w:id="152" w:name="bkm_dean_name"/>
            <w:r>
              <w:rPr>
                <w:rFonts w:cs="Calibri" w:ascii="Aptos" w:hAnsi="Aptos" w:cstheme="minorHAnsi"/>
                <w:kern w:val="0"/>
                <w:sz w:val="21"/>
                <w:szCs w:val="21"/>
                <w:lang w:val="ro-RO" w:bidi="ar-SA"/>
              </w:rPr>
              <w:t>Daniela-Lucia Manea</w:t>
            </w:r>
            <w:bookmarkEnd w:id="152"/>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p>
          <w:p>
            <w:pPr>
              <w:pStyle w:val="Normal"/>
              <w:keepNext w:val="true"/>
              <w:keepLines/>
              <w:widowControl/>
              <w:spacing w:before="0" w:after="0"/>
              <w:jc w:val="left"/>
              <w:rPr>
                <w:rFonts w:ascii="Aptos" w:hAnsi="Aptos" w:cs="Calibri" w:cstheme="minorHAnsi"/>
                <w:sz w:val="21"/>
                <w:szCs w:val="21"/>
                <w:lang w:val="ro-RO" w:eastAsia="en-US"/>
              </w:rPr>
            </w:pPr>
            <w:r>
              <w:rPr>
                <w:rFonts w:cs="Calibri" w:ascii="Aptos" w:hAnsi="Aptos" w:cstheme="minorHAnsi"/>
                <w:kern w:val="0"/>
                <w:sz w:val="21"/>
                <w:szCs w:val="21"/>
                <w:lang w:val="ro-RO" w:eastAsia="en-US" w:bidi="ar-SA"/>
              </w:rPr>
              <w:t>_______________________</w:t>
            </w:r>
            <w:bookmarkEnd w:id="149"/>
            <w:bookmarkEnd w:id="150"/>
          </w:p>
          <w:p>
            <w:pPr>
              <w:pStyle w:val="Normal"/>
              <w:keepNext w:val="true"/>
              <w:keepLines/>
              <w:widowControl/>
              <w:spacing w:before="0" w:after="0"/>
              <w:jc w:val="left"/>
              <w:rPr>
                <w:rFonts w:ascii="Aptos" w:hAnsi="Aptos" w:cs="Calibri" w:cstheme="minorHAnsi"/>
                <w:sz w:val="21"/>
                <w:szCs w:val="21"/>
                <w:lang w:val="ro-RO" w:eastAsia="en-US"/>
              </w:rPr>
            </w:pPr>
            <w:r>
              <w:rPr>
                <w:rFonts w:cs="Calibri" w:cstheme="minorHAnsi" w:ascii="Aptos" w:hAnsi="Aptos"/>
                <w:kern w:val="0"/>
                <w:sz w:val="21"/>
                <w:szCs w:val="21"/>
                <w:lang w:val="ro-RO" w:eastAsia="en-US" w:bidi="ar-SA"/>
              </w:rPr>
            </w:r>
            <w:bookmarkStart w:id="153" w:name="_Hlk113960009"/>
            <w:bookmarkStart w:id="154" w:name="_Hlk113960009"/>
            <w:bookmarkEnd w:id="154"/>
          </w:p>
        </w:tc>
      </w:tr>
    </w:tbl>
    <w:p>
      <w:pPr>
        <w:pStyle w:val="Normal"/>
        <w:rPr>
          <w:rFonts w:ascii="Aptos" w:hAnsi="Aptos" w:cs="Calibri" w:cstheme="minorHAnsi"/>
          <w:sz w:val="21"/>
          <w:szCs w:val="21"/>
          <w:lang w:val="ro-RO"/>
        </w:rPr>
      </w:pPr>
      <w:r>
        <w:rPr>
          <w:rFonts w:cs="Calibri" w:cstheme="minorHAnsi" w:ascii="Aptos" w:hAnsi="Aptos"/>
          <w:sz w:val="21"/>
          <w:szCs w:val="21"/>
          <w:lang w:val="ro-RO"/>
        </w:rPr>
      </w:r>
    </w:p>
    <w:sectPr>
      <w:type w:val="nextPage"/>
      <w:pgSz w:w="11906" w:h="16838"/>
      <w:pgMar w:left="1134" w:right="1134" w:gutter="0" w:header="0" w:top="1134" w:footer="0" w:bottom="1134"/>
      <w:pgNumType w:fmt="decimal"/>
      <w:formProt w:val="false"/>
      <w:textDirection w:val="lrTb"/>
      <w:docGrid w:type="default" w:linePitch="360" w:charSpace="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Tahoma">
    <w:charset w:val="01"/>
    <w:family w:val="roman"/>
    <w:pitch w:val="variable"/>
  </w:font>
  <w:font w:name="Aptos">
    <w:charset w:val="01"/>
    <w:family w:val="roman"/>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w="http://schemas.openxmlformats.org/wordprocessingml/2006/main">
  <w:zoom xmlns:w="http://schemas.openxmlformats.org/wordprocessingml/2006/main" w:percent="100"/>
  <w:defaultTabStop xmlns:w="http://schemas.openxmlformats.org/wordprocessingml/2006/main" w:val="708"/>
  <w:autoHyphenation w:val="true"/>
  <w:compat xmlns:w="http://schemas.openxmlformats.org/wordprocessingml/2006/main">
    <w:compatSetting w:name="compatibilityMode" w:uri="http://schemas.microsoft.com/office/word" w:val="15"/>
  </w:compat>
  <w:themeFontLang w:val="en-US" w:eastAsia="" w:bidi=""/>
  <w:hyphenationZone xmlns:w="http://schemas.openxmlformats.org/wordprocessingml/2006/main" w:val="360"/>
  <w:decimalSymbol xmlns:w="http://schemas.openxmlformats.org/wordprocessingml/2006/main" w:val="."/>
  <w:listSeparator xmlns:w="http://schemas.openxmlformats.org/wordprocessingml/2006/main" w:val=";"/>
  <w:evenAndOddHeaders xmlns:w="http://schemas.openxmlformats.org/wordprocessingml/2006/main" w:val="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1d2b"/>
    <w:pPr>
      <w:widowControl/>
      <w:bidi w:val="0"/>
      <w:spacing w:before="0" w:after="0"/>
      <w:jc w:val="left"/>
    </w:pPr>
    <w:rPr>
      <w:rFonts w:eastAsia="Times New Roman" w:ascii="Times New Roman" w:hAnsi="Times New Roman" w:cs="Times New Roman"/>
      <w:color w:val="auto"/>
      <w:kern w:val="0"/>
      <w:sz w:val="24"/>
      <w:szCs w:val="24"/>
      <w:lang w:eastAsia="en-GB" w:val="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rsid w:val="00641525"/>
    <w:rPr>
      <w:color w:val="0000FF"/>
      <w:u w:val="single"/>
    </w:rPr>
  </w:style>
  <w:style w:type="character" w:styleId="annotationreference">
    <w:name w:val="annotation reference"/>
    <w:basedOn w:val="DefaultParagraphFont"/>
    <w:semiHidden/>
    <w:qFormat/>
    <w:rsid w:val="00044a0a"/>
    <w:rPr>
      <w:sz w:val="16"/>
      <w:szCs w:val="16"/>
    </w:rPr>
  </w:style>
  <w:style w:type="character" w:styleId="EndNoteBibliographyChar" w:customStyle="1">
    <w:name w:val="EndNote Bibliography Char"/>
    <w:link w:val="EndNoteBibliography"/>
    <w:qFormat/>
    <w:rsid w:val="002a361f"/>
    <w:rPr>
      <w:rFonts w:eastAsia="Calibri"/>
      <w:sz w:val="24"/>
      <w:szCs w:val="22"/>
    </w:rPr>
  </w:style>
  <w:style w:type="character" w:styleId="Strong">
    <w:name w:val="Strong"/>
    <w:basedOn w:val="DefaultParagraphFont"/>
    <w:uiPriority w:val="22"/>
    <w:qFormat/>
    <w:rsid w:val="009c1d2b"/>
    <w:rPr>
      <w:b/>
      <w:bCs/>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AnnotationText">
    <w:name w:val="Annotation Text"/>
    <w:basedOn w:val="Normal"/>
    <w:semiHidden/>
    <w:rsid w:val="00044a0a"/>
    <w:pPr/>
    <w:rPr>
      <w:rFonts w:eastAsia="SimSun"/>
      <w:sz w:val="20"/>
      <w:szCs w:val="20"/>
      <w:lang w:val="ro-RO" w:eastAsia="zh-CN"/>
    </w:rPr>
  </w:style>
  <w:style w:type="paragraph" w:styleId="annotationsubject">
    <w:name w:val="annotation subject"/>
    <w:basedOn w:val="AnnotationText"/>
    <w:next w:val="AnnotationText"/>
    <w:semiHidden/>
    <w:qFormat/>
    <w:rsid w:val="00044a0a"/>
    <w:pPr/>
    <w:rPr>
      <w:b/>
      <w:bCs/>
    </w:rPr>
  </w:style>
  <w:style w:type="paragraph" w:styleId="BalloonText">
    <w:name w:val="Balloon Text"/>
    <w:basedOn w:val="Normal"/>
    <w:semiHidden/>
    <w:qFormat/>
    <w:rsid w:val="00044a0a"/>
    <w:pPr/>
    <w:rPr>
      <w:rFonts w:ascii="Tahoma" w:hAnsi="Tahoma" w:eastAsia="SimSun" w:cs="Tahoma"/>
      <w:sz w:val="16"/>
      <w:szCs w:val="16"/>
      <w:lang w:val="ro-RO" w:eastAsia="zh-CN"/>
    </w:rPr>
  </w:style>
  <w:style w:type="paragraph" w:styleId="EndNoteBibliography" w:customStyle="1">
    <w:name w:val="EndNote Bibliography"/>
    <w:basedOn w:val="Normal"/>
    <w:link w:val="EndNoteBibliographyChar"/>
    <w:qFormat/>
    <w:rsid w:val="002a361f"/>
    <w:pPr>
      <w:spacing w:before="0" w:after="160"/>
    </w:pPr>
    <w:rPr>
      <w:rFonts w:eastAsia="Calibri"/>
      <w:szCs w:val="22"/>
      <w:lang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ee0ba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TableNormal"/>
    <w:uiPriority w:val="39"/>
    <w:rsid w:val="00df6f11"/>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
    <w:name w:val="Table Grid2"/>
    <w:basedOn w:val="TableNormal"/>
    <w:uiPriority w:val="39"/>
    <w:rsid w:val="00df6f11"/>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3.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D6F7B5-908E-421A-AA02-61D6E4A53525}">
  <ds:schemaRefs>
    <ds:schemaRef ds:uri="http://schemas.openxmlformats.org/officeDocument/2006/bibliography"/>
  </ds:schemaRefs>
</ds:datastoreItem>
</file>

<file path=customXml/itemProps2.xml><?xml version="1.0" encoding="utf-8"?>
<ds:datastoreItem xmlns:ds="http://schemas.openxmlformats.org/officeDocument/2006/customXml" ds:itemID="{21C59DFF-58AD-4E96-B964-453DD381D17D}"/>
</file>

<file path=customXml/itemProps3.xml><?xml version="1.0" encoding="utf-8"?>
<ds:datastoreItem xmlns:ds="http://schemas.openxmlformats.org/officeDocument/2006/customXml" ds:itemID="{A888B259-4F1B-4B7E-832A-69011A6D21F9}"/>
</file>

<file path=customXml/itemProps4.xml><?xml version="1.0" encoding="utf-8"?>
<ds:datastoreItem xmlns:ds="http://schemas.openxmlformats.org/officeDocument/2006/customXml" ds:itemID="{19798774-367C-4B3C-BB37-94B10B25DDB8}"/>
</file>

<file path=docProps/app.xml><?xml version="1.0" encoding="utf-8"?>
<Properties xmlns="http://schemas.openxmlformats.org/officeDocument/2006/extended-properties" xmlns:vt="http://schemas.openxmlformats.org/officeDocument/2006/docPropsVTypes">
  <Template>Normal.dotm</Template>
  <TotalTime>98</TotalTime>
  <Application>LibreOffice/24.2.7.2$Linux_X86_64 LibreOffice_project/420$Build-2</Application>
  <AppVersion>15.0000</AppVersion>
  <Pages>5</Pages>
  <Words>477</Words>
  <Characters>4137</Characters>
  <CharactersWithSpaces>4419</CharactersWithSpaces>
  <Paragraphs>218</Paragraphs>
  <Company>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dc:description/>
  <cp:lastModifiedBy>dorin</cp:lastModifiedBy>
  <cp:revision>97</cp:revision>
  <dcterms:created xsi:type="dcterms:W3CDTF">2022-11-18T00:04:00Z</dcterms:created>
  <dcterms:modified xsi:type="dcterms:W3CDTF">2026-05-17T10:05:51Z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a442d5d0-8647-4fba-b00e-3a2f3b77b918</vt:lpwstr>
  </property>
  <property fmtid="{D5CDD505-2E9C-101B-9397-08002B2CF9AE}" pid="3" name="MSIP_Label_5b58b62f-6f94-46bd-8089-18e64b0a9abb_ActionId">
    <vt:lpwstr>dc150e4f-ffa6-4699-9263-eef2acef282a</vt:lpwstr>
  </property>
  <property fmtid="{D5CDD505-2E9C-101B-9397-08002B2CF9AE}" pid="4" name="MSIP_Label_5b58b62f-6f94-46bd-8089-18e64b0a9abb_ContentBits">
    <vt:lpwstr>0</vt:lpwstr>
  </property>
  <property fmtid="{D5CDD505-2E9C-101B-9397-08002B2CF9AE}" pid="5" name="MSIP_Label_5b58b62f-6f94-46bd-8089-18e64b0a9abb_Enabled">
    <vt:lpwstr>true</vt:lpwstr>
  </property>
  <property fmtid="{D5CDD505-2E9C-101B-9397-08002B2CF9AE}" pid="6" name="MSIP_Label_5b58b62f-6f94-46bd-8089-18e64b0a9abb_Method">
    <vt:lpwstr>Standard</vt:lpwstr>
  </property>
  <property fmtid="{D5CDD505-2E9C-101B-9397-08002B2CF9AE}" pid="7" name="MSIP_Label_5b58b62f-6f94-46bd-8089-18e64b0a9abb_Name">
    <vt:lpwstr>defa4170-0d19-0005-0004-bc88714345d2</vt:lpwstr>
  </property>
  <property fmtid="{D5CDD505-2E9C-101B-9397-08002B2CF9AE}" pid="8" name="MSIP_Label_5b58b62f-6f94-46bd-8089-18e64b0a9abb_SetDate">
    <vt:lpwstr>2023-04-30T17:24:22Z</vt:lpwstr>
  </property>
  <property fmtid="{D5CDD505-2E9C-101B-9397-08002B2CF9AE}" pid="9" name="MSIP_Label_5b58b62f-6f94-46bd-8089-18e64b0a9abb_SiteId">
    <vt:lpwstr>a6eb79fa-c4a9-4cce-818d-b85274d15305</vt:lpwstr>
  </property>
  <property fmtid="{D5CDD505-2E9C-101B-9397-08002B2CF9AE}" pid="10" name="ContentTypeId">
    <vt:lpwstr>0x01010008DE289CDA21D84FAF9CB7C1DA7415EA</vt:lpwstr>
  </property>
</Properties>
</file>